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FC09DC" w:rsidRPr="00BD37D9" w:rsidTr="00BF3CA4">
        <w:trPr>
          <w:trHeight w:val="1559"/>
        </w:trPr>
        <w:tc>
          <w:tcPr>
            <w:tcW w:w="4140" w:type="dxa"/>
          </w:tcPr>
          <w:p w:rsidR="00FC09DC" w:rsidRDefault="00FC09DC" w:rsidP="00BF3CA4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FC09DC" w:rsidRPr="00051ABA" w:rsidRDefault="00FC09DC" w:rsidP="00BF3CA4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FC09DC" w:rsidRPr="00051ABA" w:rsidRDefault="00FC09DC" w:rsidP="00BF3CA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C09DC" w:rsidRPr="00051ABA" w:rsidRDefault="00FC09DC" w:rsidP="00BF3CA4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FC09DC" w:rsidRPr="00051ABA" w:rsidRDefault="00FC09DC" w:rsidP="00BF3CA4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FC09DC" w:rsidRPr="00051ABA" w:rsidRDefault="00FC09DC" w:rsidP="00BF3CA4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FC09DC" w:rsidRPr="00051ABA" w:rsidRDefault="00FC09DC" w:rsidP="00BF3CA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C09DC" w:rsidRDefault="00FC09DC" w:rsidP="00FC09DC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FC09DC" w:rsidRPr="00BD37D9" w:rsidRDefault="00FC09DC" w:rsidP="00FC09DC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FC09DC" w:rsidRPr="00BD37D9" w:rsidTr="00BF3CA4"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FC09DC" w:rsidRPr="00BD37D9" w:rsidTr="00BF3CA4">
        <w:tc>
          <w:tcPr>
            <w:tcW w:w="3190" w:type="dxa"/>
          </w:tcPr>
          <w:p w:rsidR="00FC09DC" w:rsidRPr="00BD37D9" w:rsidRDefault="00FC09DC" w:rsidP="00FC09DC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29.05.</w:t>
            </w:r>
            <w:r w:rsidRPr="00BD37D9">
              <w:rPr>
                <w:rStyle w:val="FontStyle80"/>
                <w:sz w:val="30"/>
                <w:szCs w:val="30"/>
              </w:rPr>
              <w:t>20</w:t>
            </w:r>
            <w:r>
              <w:rPr>
                <w:rStyle w:val="FontStyle80"/>
                <w:sz w:val="30"/>
                <w:szCs w:val="30"/>
              </w:rPr>
              <w:t>20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>
              <w:rPr>
                <w:rStyle w:val="FontStyle80"/>
                <w:sz w:val="30"/>
                <w:szCs w:val="30"/>
              </w:rPr>
              <w:t>28</w:t>
            </w: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FC09DC" w:rsidRPr="00BD37D9" w:rsidTr="00BF3CA4"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FC09DC" w:rsidRPr="00BD37D9" w:rsidRDefault="00FC09DC" w:rsidP="00BF3CA4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 – Г.П.Пархимович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Присутствовали: 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09DC">
        <w:rPr>
          <w:rFonts w:ascii="Times New Roman" w:hAnsi="Times New Roman" w:cs="Times New Roman"/>
          <w:b/>
          <w:sz w:val="30"/>
          <w:szCs w:val="30"/>
        </w:rPr>
        <w:t>члены совета:</w:t>
      </w:r>
      <w:r>
        <w:rPr>
          <w:rFonts w:ascii="Times New Roman" w:hAnsi="Times New Roman" w:cs="Times New Roman"/>
          <w:sz w:val="30"/>
          <w:szCs w:val="30"/>
        </w:rPr>
        <w:t xml:space="preserve"> Бельская Н.П., Бобцов В.М., Лазовик Л.И.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>приглашенные: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C09DC">
        <w:rPr>
          <w:rFonts w:ascii="Times New Roman" w:hAnsi="Times New Roman" w:cs="Times New Roman"/>
          <w:sz w:val="30"/>
          <w:szCs w:val="30"/>
        </w:rPr>
        <w:t>Лукошюте В.А.</w:t>
      </w:r>
      <w:r>
        <w:rPr>
          <w:rFonts w:ascii="Times New Roman" w:hAnsi="Times New Roman" w:cs="Times New Roman"/>
          <w:sz w:val="30"/>
          <w:szCs w:val="30"/>
        </w:rPr>
        <w:t xml:space="preserve"> – референт управления издательской и полиграфической деятельности </w:t>
      </w:r>
    </w:p>
    <w:p w:rsidR="005F6250" w:rsidRDefault="005F6250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F6250" w:rsidRPr="004451B1" w:rsidRDefault="005F6250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F6250">
        <w:rPr>
          <w:rFonts w:ascii="Times New Roman" w:hAnsi="Times New Roman" w:cs="Times New Roman"/>
          <w:b/>
          <w:sz w:val="30"/>
          <w:szCs w:val="30"/>
        </w:rPr>
        <w:t xml:space="preserve">члены совета, голосовавшие посредством </w:t>
      </w:r>
      <w:r w:rsidR="00FD69C8">
        <w:rPr>
          <w:rFonts w:ascii="Times New Roman" w:hAnsi="Times New Roman" w:cs="Times New Roman"/>
          <w:b/>
          <w:sz w:val="30"/>
          <w:szCs w:val="30"/>
        </w:rPr>
        <w:t xml:space="preserve">направления </w:t>
      </w:r>
      <w:r w:rsidRPr="005F6250">
        <w:rPr>
          <w:rFonts w:ascii="Times New Roman" w:hAnsi="Times New Roman" w:cs="Times New Roman"/>
          <w:b/>
          <w:sz w:val="30"/>
          <w:szCs w:val="30"/>
        </w:rPr>
        <w:t>опросного листа: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92904" w:rsidRPr="004451B1">
        <w:rPr>
          <w:rFonts w:ascii="Times New Roman" w:hAnsi="Times New Roman" w:cs="Times New Roman"/>
          <w:sz w:val="30"/>
          <w:szCs w:val="30"/>
        </w:rPr>
        <w:t>Вашкевич</w:t>
      </w:r>
      <w:r w:rsidR="004451B1">
        <w:rPr>
          <w:rFonts w:ascii="Times New Roman" w:hAnsi="Times New Roman" w:cs="Times New Roman"/>
          <w:sz w:val="30"/>
          <w:szCs w:val="30"/>
        </w:rPr>
        <w:t> </w:t>
      </w:r>
      <w:r w:rsidR="00792904" w:rsidRPr="004451B1">
        <w:rPr>
          <w:rFonts w:ascii="Times New Roman" w:hAnsi="Times New Roman" w:cs="Times New Roman"/>
          <w:sz w:val="30"/>
          <w:szCs w:val="30"/>
        </w:rPr>
        <w:t xml:space="preserve">А.А., Гигин В.Ф., Гусаченко С.А., Дембовский Д.Л., Лебедик М.П., Левковский А.В., Макаров Д.Г., </w:t>
      </w:r>
      <w:r w:rsidRPr="004451B1">
        <w:rPr>
          <w:rFonts w:ascii="Times New Roman" w:hAnsi="Times New Roman" w:cs="Times New Roman"/>
          <w:sz w:val="30"/>
          <w:szCs w:val="30"/>
        </w:rPr>
        <w:t>Павлова Е.С.,</w:t>
      </w:r>
      <w:r w:rsidR="00073DAD">
        <w:rPr>
          <w:rFonts w:ascii="Times New Roman" w:hAnsi="Times New Roman" w:cs="Times New Roman"/>
          <w:sz w:val="30"/>
          <w:szCs w:val="30"/>
        </w:rPr>
        <w:t xml:space="preserve"> Пинюта А.Ф., </w:t>
      </w:r>
      <w:r w:rsidRPr="004451B1">
        <w:rPr>
          <w:rFonts w:ascii="Times New Roman" w:hAnsi="Times New Roman" w:cs="Times New Roman"/>
          <w:sz w:val="30"/>
          <w:szCs w:val="30"/>
        </w:rPr>
        <w:t xml:space="preserve"> </w:t>
      </w:r>
      <w:r w:rsidR="00792904" w:rsidRPr="004451B1">
        <w:rPr>
          <w:rFonts w:ascii="Times New Roman" w:hAnsi="Times New Roman" w:cs="Times New Roman"/>
          <w:sz w:val="30"/>
          <w:szCs w:val="30"/>
        </w:rPr>
        <w:t>Чекина</w:t>
      </w:r>
      <w:r w:rsidR="004451B1">
        <w:rPr>
          <w:rFonts w:ascii="Times New Roman" w:hAnsi="Times New Roman" w:cs="Times New Roman"/>
          <w:sz w:val="30"/>
          <w:szCs w:val="30"/>
        </w:rPr>
        <w:t> </w:t>
      </w:r>
      <w:r w:rsidR="00792904" w:rsidRPr="004451B1">
        <w:rPr>
          <w:rFonts w:ascii="Times New Roman" w:hAnsi="Times New Roman" w:cs="Times New Roman"/>
          <w:sz w:val="30"/>
          <w:szCs w:val="30"/>
        </w:rPr>
        <w:t xml:space="preserve">Л.Ю., </w:t>
      </w:r>
      <w:r w:rsidR="004451B1">
        <w:rPr>
          <w:rFonts w:ascii="Times New Roman" w:hAnsi="Times New Roman" w:cs="Times New Roman"/>
          <w:sz w:val="30"/>
          <w:szCs w:val="30"/>
        </w:rPr>
        <w:t>Яременко С.П.</w:t>
      </w:r>
      <w:r w:rsidRPr="004451B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73DAD" w:rsidRDefault="00FC09DC" w:rsidP="00FC09DC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73DAD">
        <w:rPr>
          <w:sz w:val="30"/>
          <w:szCs w:val="30"/>
        </w:rPr>
        <w:t xml:space="preserve">Обсуждение изменений основных подходов к порядку проведения национального конкурса </w:t>
      </w:r>
      <w:r w:rsidR="00D846B3">
        <w:rPr>
          <w:sz w:val="30"/>
          <w:szCs w:val="30"/>
        </w:rPr>
        <w:t>”</w:t>
      </w:r>
      <w:r w:rsidR="00073DAD">
        <w:rPr>
          <w:sz w:val="30"/>
          <w:szCs w:val="30"/>
        </w:rPr>
        <w:t>Искусство книги</w:t>
      </w:r>
      <w:r w:rsidR="00D846B3">
        <w:rPr>
          <w:sz w:val="30"/>
          <w:szCs w:val="30"/>
        </w:rPr>
        <w:t>“</w:t>
      </w:r>
      <w:r w:rsidR="00073DAD">
        <w:rPr>
          <w:sz w:val="30"/>
          <w:szCs w:val="30"/>
        </w:rPr>
        <w:t>.</w:t>
      </w: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ab/>
      </w:r>
      <w:r w:rsidRPr="00FC11D5">
        <w:rPr>
          <w:rFonts w:ascii="Times New Roman" w:hAnsi="Times New Roman" w:cs="Times New Roman"/>
          <w:b/>
          <w:caps/>
          <w:sz w:val="30"/>
          <w:szCs w:val="30"/>
        </w:rPr>
        <w:t>СЛУШАЛИ: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Лёгкий П.Н.</w:t>
      </w:r>
      <w:r w:rsidRPr="00FC11D5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отметил, что </w:t>
      </w:r>
      <w:r w:rsidR="005C5D12">
        <w:rPr>
          <w:rFonts w:ascii="Times New Roman" w:hAnsi="Times New Roman" w:cs="Times New Roman"/>
          <w:sz w:val="30"/>
          <w:szCs w:val="30"/>
        </w:rPr>
        <w:t xml:space="preserve">31 мая 2020 года Министерство информации заканчивает проведение правового </w:t>
      </w:r>
      <w:r>
        <w:rPr>
          <w:rFonts w:ascii="Times New Roman" w:hAnsi="Times New Roman" w:cs="Times New Roman"/>
          <w:sz w:val="30"/>
          <w:szCs w:val="30"/>
        </w:rPr>
        <w:t>мониторинг</w:t>
      </w:r>
      <w:r w:rsidR="005C5D1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постановления </w:t>
      </w:r>
      <w:r w:rsidRPr="008A3292"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от </w:t>
      </w:r>
      <w:r>
        <w:rPr>
          <w:rFonts w:ascii="Times New Roman" w:hAnsi="Times New Roman" w:cs="Times New Roman"/>
          <w:sz w:val="30"/>
          <w:szCs w:val="30"/>
        </w:rPr>
        <w:t>28 мая</w:t>
      </w:r>
      <w:r w:rsidRPr="008A3292">
        <w:rPr>
          <w:rFonts w:ascii="Times New Roman" w:hAnsi="Times New Roman" w:cs="Times New Roman"/>
          <w:sz w:val="30"/>
          <w:szCs w:val="30"/>
        </w:rPr>
        <w:t xml:space="preserve"> 2007 г. №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8A3292">
        <w:rPr>
          <w:rFonts w:ascii="Times New Roman" w:hAnsi="Times New Roman" w:cs="Times New Roman"/>
          <w:sz w:val="30"/>
          <w:szCs w:val="30"/>
        </w:rPr>
        <w:t xml:space="preserve"> </w:t>
      </w:r>
      <w:r w:rsidR="00D846B3">
        <w:rPr>
          <w:rFonts w:ascii="Times New Roman" w:hAnsi="Times New Roman" w:cs="Times New Roman"/>
          <w:sz w:val="30"/>
          <w:szCs w:val="30"/>
        </w:rPr>
        <w:t>”</w:t>
      </w:r>
      <w:r w:rsidRPr="008A3292">
        <w:rPr>
          <w:rFonts w:ascii="Times New Roman" w:hAnsi="Times New Roman" w:cs="Times New Roman"/>
          <w:sz w:val="30"/>
          <w:szCs w:val="30"/>
        </w:rPr>
        <w:t>Об утверждении И</w:t>
      </w:r>
      <w:r>
        <w:rPr>
          <w:rFonts w:ascii="Times New Roman" w:hAnsi="Times New Roman" w:cs="Times New Roman"/>
          <w:sz w:val="30"/>
          <w:szCs w:val="30"/>
        </w:rPr>
        <w:t>нструкции о порядке проведения н</w:t>
      </w:r>
      <w:r w:rsidRPr="008A3292">
        <w:rPr>
          <w:rFonts w:ascii="Times New Roman" w:hAnsi="Times New Roman" w:cs="Times New Roman"/>
          <w:sz w:val="30"/>
          <w:szCs w:val="30"/>
        </w:rPr>
        <w:t xml:space="preserve">ационального конкурса </w:t>
      </w:r>
      <w:r w:rsidR="00D846B3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Искусство книги</w:t>
      </w:r>
      <w:r w:rsidR="00D846B3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(далее, если не определено иное, – постановление № 8). Сообщение о его проведении </w:t>
      </w:r>
      <w:r w:rsidR="005C5D12">
        <w:rPr>
          <w:rFonts w:ascii="Times New Roman" w:hAnsi="Times New Roman" w:cs="Times New Roman"/>
          <w:sz w:val="30"/>
          <w:szCs w:val="30"/>
        </w:rPr>
        <w:t xml:space="preserve">было </w:t>
      </w:r>
      <w:r>
        <w:rPr>
          <w:rFonts w:ascii="Times New Roman" w:hAnsi="Times New Roman" w:cs="Times New Roman"/>
          <w:sz w:val="30"/>
          <w:szCs w:val="30"/>
        </w:rPr>
        <w:t xml:space="preserve">размещено на официальном сайте Министерства информации в рубрике </w:t>
      </w:r>
      <w:r w:rsidR="00D846B3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Мониторинги</w:t>
      </w:r>
      <w:r w:rsidR="00D846B3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. Предложений от заинтересованных по совершенствованию регулирования в данной сфере на дату проведения </w:t>
      </w:r>
      <w:r>
        <w:rPr>
          <w:rFonts w:ascii="Times New Roman" w:hAnsi="Times New Roman" w:cs="Times New Roman"/>
          <w:sz w:val="30"/>
          <w:szCs w:val="30"/>
        </w:rPr>
        <w:lastRenderedPageBreak/>
        <w:t>заседания не поступало. Вместе с тем у отраслевого управления, непосредственно осуществляющего проведение данного конкурса, имеется ряд предложений по корректировке названного нормативного правового акта.</w:t>
      </w:r>
      <w:r w:rsidR="005C5D12">
        <w:rPr>
          <w:rFonts w:ascii="Times New Roman" w:hAnsi="Times New Roman" w:cs="Times New Roman"/>
          <w:sz w:val="30"/>
          <w:szCs w:val="30"/>
        </w:rPr>
        <w:t xml:space="preserve"> </w:t>
      </w:r>
      <w:r w:rsidR="00FD69C8">
        <w:rPr>
          <w:rFonts w:ascii="Times New Roman" w:hAnsi="Times New Roman" w:cs="Times New Roman"/>
          <w:sz w:val="30"/>
          <w:szCs w:val="30"/>
        </w:rPr>
        <w:t>П</w:t>
      </w:r>
      <w:r w:rsidR="005C5D12">
        <w:rPr>
          <w:rFonts w:ascii="Times New Roman" w:hAnsi="Times New Roman" w:cs="Times New Roman"/>
          <w:sz w:val="30"/>
          <w:szCs w:val="30"/>
        </w:rPr>
        <w:t xml:space="preserve">редложения </w:t>
      </w:r>
      <w:r w:rsidR="00FD69C8">
        <w:rPr>
          <w:rFonts w:ascii="Times New Roman" w:hAnsi="Times New Roman" w:cs="Times New Roman"/>
          <w:sz w:val="30"/>
          <w:szCs w:val="30"/>
        </w:rPr>
        <w:t xml:space="preserve">по изменению основных подходов к проведению конкурса </w:t>
      </w:r>
      <w:r w:rsidR="005C5D12">
        <w:rPr>
          <w:rFonts w:ascii="Times New Roman" w:hAnsi="Times New Roman" w:cs="Times New Roman"/>
          <w:sz w:val="30"/>
          <w:szCs w:val="30"/>
        </w:rPr>
        <w:t xml:space="preserve">были включены в опросный лист и направлены членам совета для голосования. 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ознакомления с этими предложениями Лёгкий П.Н. предложил выступить Лукошюте В.А., референту управления издательской и полиграфической деятельности Министерства информации.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C09DC" w:rsidRPr="00FC11D5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FC09DC" w:rsidRDefault="00FC09DC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80413">
        <w:rPr>
          <w:b/>
          <w:sz w:val="30"/>
          <w:szCs w:val="30"/>
        </w:rPr>
        <w:t>Лукошюте В.А.</w:t>
      </w:r>
      <w:r w:rsidRPr="00181C9A">
        <w:rPr>
          <w:sz w:val="30"/>
          <w:szCs w:val="30"/>
        </w:rPr>
        <w:t xml:space="preserve"> </w:t>
      </w:r>
      <w:r w:rsidRPr="00FC11D5">
        <w:rPr>
          <w:sz w:val="30"/>
          <w:szCs w:val="30"/>
        </w:rPr>
        <w:t xml:space="preserve">– </w:t>
      </w:r>
      <w:r>
        <w:rPr>
          <w:sz w:val="30"/>
          <w:szCs w:val="30"/>
        </w:rPr>
        <w:t>проинформировала, что по результатам детального изучения норм постановления № 8</w:t>
      </w:r>
      <w:r w:rsidR="005C5D12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практики его применения, возникла необходимость в его корректировке.</w:t>
      </w:r>
    </w:p>
    <w:p w:rsidR="00745E9E" w:rsidRDefault="005C5D12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Согласно данному постановлению н</w:t>
      </w:r>
      <w:r w:rsidR="00FC09DC" w:rsidRPr="008A3292">
        <w:rPr>
          <w:sz w:val="30"/>
          <w:szCs w:val="30"/>
        </w:rPr>
        <w:t>ациональн</w:t>
      </w:r>
      <w:r w:rsidR="00FC09DC">
        <w:rPr>
          <w:sz w:val="30"/>
          <w:szCs w:val="30"/>
        </w:rPr>
        <w:t>ый конкурс</w:t>
      </w:r>
      <w:r w:rsidR="00FC09DC" w:rsidRPr="008A3292">
        <w:rPr>
          <w:sz w:val="30"/>
          <w:szCs w:val="30"/>
        </w:rPr>
        <w:t xml:space="preserve"> </w:t>
      </w:r>
      <w:r w:rsidR="00D846B3">
        <w:rPr>
          <w:sz w:val="30"/>
          <w:szCs w:val="30"/>
        </w:rPr>
        <w:t>”</w:t>
      </w:r>
      <w:r w:rsidR="00FC09DC">
        <w:rPr>
          <w:sz w:val="30"/>
          <w:szCs w:val="30"/>
        </w:rPr>
        <w:t>Искусство книги</w:t>
      </w:r>
      <w:r w:rsidR="00D846B3">
        <w:rPr>
          <w:sz w:val="30"/>
          <w:szCs w:val="30"/>
        </w:rPr>
        <w:t>“</w:t>
      </w:r>
      <w:r w:rsidR="00FC09DC">
        <w:rPr>
          <w:sz w:val="30"/>
          <w:szCs w:val="30"/>
        </w:rPr>
        <w:t xml:space="preserve"> проводится ежегодно </w:t>
      </w:r>
      <w:r>
        <w:rPr>
          <w:sz w:val="30"/>
          <w:szCs w:val="30"/>
        </w:rPr>
        <w:t xml:space="preserve">во второй декаде мая. При этом, </w:t>
      </w:r>
      <w:r w:rsidR="00D80413">
        <w:rPr>
          <w:sz w:val="30"/>
          <w:szCs w:val="30"/>
        </w:rPr>
        <w:t xml:space="preserve">учитывая, что конкурс проводится </w:t>
      </w:r>
      <w:r w:rsidR="00FC09DC">
        <w:rPr>
          <w:sz w:val="30"/>
          <w:szCs w:val="30"/>
        </w:rPr>
        <w:t>по итогам работы за предыдущий год</w:t>
      </w:r>
      <w:r w:rsidR="00D80413">
        <w:rPr>
          <w:sz w:val="30"/>
          <w:szCs w:val="30"/>
        </w:rPr>
        <w:t xml:space="preserve">, </w:t>
      </w:r>
      <w:r w:rsidR="00FC09DC">
        <w:rPr>
          <w:sz w:val="30"/>
          <w:szCs w:val="30"/>
        </w:rPr>
        <w:t xml:space="preserve">более актуальным является его проведение в январе, а награждение </w:t>
      </w:r>
      <w:r w:rsidR="00BF3CA4">
        <w:rPr>
          <w:sz w:val="30"/>
          <w:szCs w:val="30"/>
        </w:rPr>
        <w:t xml:space="preserve">победителей конкурса – </w:t>
      </w:r>
      <w:r w:rsidR="00FC09DC">
        <w:rPr>
          <w:sz w:val="30"/>
          <w:szCs w:val="30"/>
        </w:rPr>
        <w:t>в рамках Минской междуна</w:t>
      </w:r>
      <w:r w:rsidR="00A03B8E">
        <w:rPr>
          <w:sz w:val="30"/>
          <w:szCs w:val="30"/>
        </w:rPr>
        <w:t>родной книжной выставки-ярмарки, вместо Дня белорусской письменности.</w:t>
      </w:r>
      <w:r w:rsidR="00FC09DC">
        <w:rPr>
          <w:sz w:val="30"/>
          <w:szCs w:val="30"/>
        </w:rPr>
        <w:t xml:space="preserve"> </w:t>
      </w:r>
      <w:r w:rsidR="00BF3CA4">
        <w:rPr>
          <w:sz w:val="30"/>
          <w:szCs w:val="30"/>
        </w:rPr>
        <w:t>П</w:t>
      </w:r>
      <w:r w:rsidR="00BF3CA4" w:rsidRPr="00C61814">
        <w:rPr>
          <w:sz w:val="30"/>
          <w:szCs w:val="30"/>
        </w:rPr>
        <w:t>редложил</w:t>
      </w:r>
      <w:r w:rsidR="00BF3CA4">
        <w:rPr>
          <w:sz w:val="30"/>
          <w:szCs w:val="30"/>
        </w:rPr>
        <w:t>а</w:t>
      </w:r>
      <w:r w:rsidR="00BF3CA4" w:rsidRPr="00C61814">
        <w:rPr>
          <w:sz w:val="30"/>
          <w:szCs w:val="30"/>
        </w:rPr>
        <w:t xml:space="preserve"> </w:t>
      </w:r>
      <w:r w:rsidR="00BF3CA4" w:rsidRPr="00120E64">
        <w:rPr>
          <w:sz w:val="30"/>
          <w:szCs w:val="30"/>
        </w:rPr>
        <w:t>с целью качественной подготовки</w:t>
      </w:r>
      <w:r w:rsidR="00BF3CA4">
        <w:rPr>
          <w:b/>
          <w:sz w:val="30"/>
          <w:szCs w:val="30"/>
        </w:rPr>
        <w:t xml:space="preserve"> </w:t>
      </w:r>
      <w:r w:rsidR="00BF3CA4" w:rsidRPr="00120E64">
        <w:rPr>
          <w:sz w:val="30"/>
          <w:szCs w:val="30"/>
        </w:rPr>
        <w:t>к проведению конкурса</w:t>
      </w:r>
      <w:r w:rsidR="00BF3CA4">
        <w:rPr>
          <w:b/>
          <w:sz w:val="30"/>
          <w:szCs w:val="30"/>
        </w:rPr>
        <w:t xml:space="preserve"> </w:t>
      </w:r>
      <w:r w:rsidR="00BF3CA4" w:rsidRPr="00491D21">
        <w:rPr>
          <w:sz w:val="30"/>
          <w:szCs w:val="30"/>
        </w:rPr>
        <w:t xml:space="preserve">определить </w:t>
      </w:r>
      <w:r w:rsidR="00BF3CA4" w:rsidRPr="00C61814">
        <w:rPr>
          <w:sz w:val="30"/>
          <w:szCs w:val="30"/>
        </w:rPr>
        <w:t>в постановлении</w:t>
      </w:r>
      <w:r w:rsidR="00BF3CA4">
        <w:rPr>
          <w:sz w:val="30"/>
          <w:szCs w:val="30"/>
        </w:rPr>
        <w:t xml:space="preserve"> сроки представления материалов на конкурс не позднее 10</w:t>
      </w:r>
      <w:r w:rsidR="00A03B8E">
        <w:rPr>
          <w:sz w:val="30"/>
          <w:szCs w:val="30"/>
        </w:rPr>
        <w:t> </w:t>
      </w:r>
      <w:r w:rsidR="00BF3CA4">
        <w:rPr>
          <w:sz w:val="30"/>
          <w:szCs w:val="30"/>
        </w:rPr>
        <w:t xml:space="preserve">января текущего года, </w:t>
      </w:r>
      <w:r w:rsidR="00FD69C8">
        <w:rPr>
          <w:sz w:val="30"/>
          <w:szCs w:val="30"/>
        </w:rPr>
        <w:t>а</w:t>
      </w:r>
      <w:r w:rsidR="00BF3CA4">
        <w:rPr>
          <w:sz w:val="30"/>
          <w:szCs w:val="30"/>
        </w:rPr>
        <w:t xml:space="preserve"> сроки подведения итогов конкурса </w:t>
      </w:r>
      <w:r w:rsidR="00FD69C8">
        <w:rPr>
          <w:sz w:val="30"/>
          <w:szCs w:val="30"/>
        </w:rPr>
        <w:t xml:space="preserve">– </w:t>
      </w:r>
      <w:r w:rsidR="00BF3CA4">
        <w:rPr>
          <w:sz w:val="30"/>
          <w:szCs w:val="30"/>
        </w:rPr>
        <w:t xml:space="preserve">не позднее 20 января текущего года. </w:t>
      </w:r>
    </w:p>
    <w:p w:rsidR="00745E9E" w:rsidRDefault="00FC09DC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Особое внимание Лукошюте</w:t>
      </w:r>
      <w:r w:rsidR="005C5D12">
        <w:rPr>
          <w:sz w:val="30"/>
          <w:szCs w:val="30"/>
        </w:rPr>
        <w:t> </w:t>
      </w:r>
      <w:r>
        <w:rPr>
          <w:sz w:val="30"/>
          <w:szCs w:val="30"/>
        </w:rPr>
        <w:t xml:space="preserve">В.А. обратила на вопросы, связанные с отражением в постановлении № 8 номинаций конкурса. Учитывая практику проведения конкурса, внесла предложение по сокращению количества номинаций, а также по изменению их названий. </w:t>
      </w:r>
    </w:p>
    <w:p w:rsidR="00FC09DC" w:rsidRDefault="00FC09DC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принимая во внимание, что конкурс является национальным, Лукошюте В.А. внесла предложение дополн</w:t>
      </w:r>
      <w:r w:rsidR="00D80413">
        <w:rPr>
          <w:sz w:val="30"/>
          <w:szCs w:val="30"/>
        </w:rPr>
        <w:t>ить</w:t>
      </w:r>
      <w:r>
        <w:rPr>
          <w:sz w:val="30"/>
          <w:szCs w:val="30"/>
        </w:rPr>
        <w:t xml:space="preserve"> </w:t>
      </w:r>
      <w:r w:rsidR="00745E9E">
        <w:rPr>
          <w:sz w:val="30"/>
          <w:szCs w:val="30"/>
        </w:rPr>
        <w:t xml:space="preserve">постановление </w:t>
      </w:r>
      <w:r>
        <w:rPr>
          <w:sz w:val="30"/>
          <w:szCs w:val="30"/>
        </w:rPr>
        <w:t xml:space="preserve">нормами, позволяющими принимать на конкурс издания, изготовленные только изготовителями печатных изданий Республики Беларусь, за исключением изданий, представляемых в номинации </w:t>
      </w:r>
      <w:r w:rsidR="00D846B3">
        <w:rPr>
          <w:sz w:val="30"/>
          <w:szCs w:val="30"/>
        </w:rPr>
        <w:t>”</w:t>
      </w:r>
      <w:r>
        <w:rPr>
          <w:sz w:val="30"/>
          <w:szCs w:val="30"/>
        </w:rPr>
        <w:t>Содружество</w:t>
      </w:r>
      <w:r w:rsidR="00D846B3">
        <w:rPr>
          <w:sz w:val="30"/>
          <w:szCs w:val="30"/>
        </w:rPr>
        <w:t>“</w:t>
      </w:r>
      <w:r>
        <w:rPr>
          <w:sz w:val="30"/>
          <w:szCs w:val="30"/>
        </w:rPr>
        <w:t>, в которой могут принимать участие совместные международные издательские проекты.</w:t>
      </w:r>
      <w:r w:rsidR="00D80413" w:rsidRPr="00D80413">
        <w:rPr>
          <w:sz w:val="30"/>
          <w:szCs w:val="30"/>
        </w:rPr>
        <w:t xml:space="preserve"> </w:t>
      </w:r>
    </w:p>
    <w:p w:rsidR="00FC09DC" w:rsidRDefault="00BF3CA4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C09DC">
        <w:rPr>
          <w:sz w:val="30"/>
          <w:szCs w:val="30"/>
        </w:rPr>
        <w:t xml:space="preserve"> целях обеспечения продуктивной работы жюри </w:t>
      </w:r>
      <w:r>
        <w:rPr>
          <w:sz w:val="30"/>
          <w:szCs w:val="30"/>
        </w:rPr>
        <w:t xml:space="preserve">предложила </w:t>
      </w:r>
      <w:r w:rsidR="00FC09DC">
        <w:rPr>
          <w:sz w:val="30"/>
          <w:szCs w:val="30"/>
        </w:rPr>
        <w:t>отразить в постановлении норму, обязывающую участников конкурса представлять полный пакет документов для каждой номинации, если издание представляется сразу в нескольких номинациях.</w:t>
      </w:r>
    </w:p>
    <w:p w:rsidR="00BF3CA4" w:rsidRDefault="00A03B8E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Проинформировала, что с </w:t>
      </w:r>
      <w:r w:rsidR="00FC09DC">
        <w:rPr>
          <w:sz w:val="30"/>
          <w:szCs w:val="30"/>
        </w:rPr>
        <w:t>принятием Закона Республики Беларусь от 29 декабря 2012</w:t>
      </w:r>
      <w:r>
        <w:rPr>
          <w:sz w:val="30"/>
          <w:szCs w:val="30"/>
        </w:rPr>
        <w:t> </w:t>
      </w:r>
      <w:r w:rsidR="00FC09DC">
        <w:rPr>
          <w:sz w:val="30"/>
          <w:szCs w:val="30"/>
        </w:rPr>
        <w:t xml:space="preserve">г. </w:t>
      </w:r>
      <w:r>
        <w:rPr>
          <w:sz w:val="30"/>
          <w:szCs w:val="30"/>
        </w:rPr>
        <w:t> № </w:t>
      </w:r>
      <w:r w:rsidR="00FC09DC">
        <w:rPr>
          <w:sz w:val="30"/>
          <w:szCs w:val="30"/>
        </w:rPr>
        <w:t>8-</w:t>
      </w:r>
      <w:r>
        <w:rPr>
          <w:sz w:val="30"/>
          <w:szCs w:val="30"/>
        </w:rPr>
        <w:t>З</w:t>
      </w:r>
      <w:r w:rsidR="00FC09DC">
        <w:rPr>
          <w:sz w:val="30"/>
          <w:szCs w:val="30"/>
        </w:rPr>
        <w:t xml:space="preserve"> </w:t>
      </w:r>
      <w:r w:rsidR="00D846B3">
        <w:rPr>
          <w:sz w:val="30"/>
          <w:szCs w:val="30"/>
        </w:rPr>
        <w:t>”</w:t>
      </w:r>
      <w:r w:rsidR="00FC09DC">
        <w:rPr>
          <w:sz w:val="30"/>
          <w:szCs w:val="30"/>
        </w:rPr>
        <w:t>Об издательском деле в Республике Беларусь</w:t>
      </w:r>
      <w:r w:rsidR="00D846B3">
        <w:rPr>
          <w:sz w:val="30"/>
          <w:szCs w:val="30"/>
        </w:rPr>
        <w:t>“</w:t>
      </w:r>
      <w:r w:rsidR="00FC09DC">
        <w:rPr>
          <w:sz w:val="30"/>
          <w:szCs w:val="30"/>
        </w:rPr>
        <w:t xml:space="preserve"> </w:t>
      </w:r>
      <w:r w:rsidR="00FC09DC">
        <w:rPr>
          <w:sz w:val="30"/>
          <w:szCs w:val="30"/>
        </w:rPr>
        <w:lastRenderedPageBreak/>
        <w:t xml:space="preserve">лицензирование издательской деятельности заменено на процедуру государственной регистрации в качестве издателя, </w:t>
      </w:r>
      <w:r w:rsidR="00BF3CA4">
        <w:rPr>
          <w:sz w:val="30"/>
          <w:szCs w:val="30"/>
        </w:rPr>
        <w:t xml:space="preserve">в связи с чем </w:t>
      </w:r>
      <w:r>
        <w:rPr>
          <w:sz w:val="30"/>
          <w:szCs w:val="30"/>
        </w:rPr>
        <w:t>возникла</w:t>
      </w:r>
      <w:r w:rsidR="00745E9E">
        <w:rPr>
          <w:sz w:val="30"/>
          <w:szCs w:val="30"/>
        </w:rPr>
        <w:t xml:space="preserve"> необходимость </w:t>
      </w:r>
      <w:r w:rsidR="00FC09DC">
        <w:rPr>
          <w:sz w:val="30"/>
          <w:szCs w:val="30"/>
        </w:rPr>
        <w:t>измен</w:t>
      </w:r>
      <w:r w:rsidR="00745E9E">
        <w:rPr>
          <w:sz w:val="30"/>
          <w:szCs w:val="30"/>
        </w:rPr>
        <w:t>ен</w:t>
      </w:r>
      <w:r w:rsidR="00FC09DC">
        <w:rPr>
          <w:sz w:val="30"/>
          <w:szCs w:val="30"/>
        </w:rPr>
        <w:t>и</w:t>
      </w:r>
      <w:r w:rsidR="00745E9E">
        <w:rPr>
          <w:sz w:val="30"/>
          <w:szCs w:val="30"/>
        </w:rPr>
        <w:t>я</w:t>
      </w:r>
      <w:r w:rsidR="00FC09DC">
        <w:rPr>
          <w:sz w:val="30"/>
          <w:szCs w:val="30"/>
        </w:rPr>
        <w:t xml:space="preserve"> круг</w:t>
      </w:r>
      <w:r w:rsidR="00745E9E">
        <w:rPr>
          <w:sz w:val="30"/>
          <w:szCs w:val="30"/>
        </w:rPr>
        <w:t>а</w:t>
      </w:r>
      <w:r w:rsidR="00FC09DC">
        <w:rPr>
          <w:sz w:val="30"/>
          <w:szCs w:val="30"/>
        </w:rPr>
        <w:t xml:space="preserve"> лиц, имеющих пра</w:t>
      </w:r>
      <w:r w:rsidR="00782548">
        <w:rPr>
          <w:sz w:val="30"/>
          <w:szCs w:val="30"/>
        </w:rPr>
        <w:t>во принимать участие в конкурсе. К данному кругу лиц предложила</w:t>
      </w:r>
      <w:r w:rsidR="00FC09DC">
        <w:rPr>
          <w:sz w:val="30"/>
          <w:szCs w:val="30"/>
        </w:rPr>
        <w:t xml:space="preserve"> о</w:t>
      </w:r>
      <w:r w:rsidR="00782548">
        <w:rPr>
          <w:sz w:val="30"/>
          <w:szCs w:val="30"/>
        </w:rPr>
        <w:t>тнести юридических</w:t>
      </w:r>
      <w:r w:rsidR="00FC09DC">
        <w:rPr>
          <w:sz w:val="30"/>
          <w:szCs w:val="30"/>
        </w:rPr>
        <w:t xml:space="preserve"> лиц</w:t>
      </w:r>
      <w:r w:rsidR="00782548">
        <w:rPr>
          <w:sz w:val="30"/>
          <w:szCs w:val="30"/>
        </w:rPr>
        <w:t xml:space="preserve"> и индивидуальных</w:t>
      </w:r>
      <w:r w:rsidR="00FC09DC">
        <w:rPr>
          <w:sz w:val="30"/>
          <w:szCs w:val="30"/>
        </w:rPr>
        <w:t xml:space="preserve"> предпринимател</w:t>
      </w:r>
      <w:r w:rsidR="00782548">
        <w:rPr>
          <w:sz w:val="30"/>
          <w:szCs w:val="30"/>
        </w:rPr>
        <w:t>ей</w:t>
      </w:r>
      <w:r w:rsidR="00FC09DC">
        <w:rPr>
          <w:sz w:val="30"/>
          <w:szCs w:val="30"/>
        </w:rPr>
        <w:t>, зарегистрированны</w:t>
      </w:r>
      <w:r w:rsidR="00782548">
        <w:rPr>
          <w:sz w:val="30"/>
          <w:szCs w:val="30"/>
        </w:rPr>
        <w:t>х</w:t>
      </w:r>
      <w:r w:rsidR="00FC09DC">
        <w:rPr>
          <w:sz w:val="30"/>
          <w:szCs w:val="30"/>
        </w:rPr>
        <w:t xml:space="preserve"> в установленном законодательством порядке на территории Республики Беларусь в качестве издателей печатных изданий. </w:t>
      </w:r>
    </w:p>
    <w:p w:rsidR="00FC09DC" w:rsidRDefault="00FC09DC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в целях приведения </w:t>
      </w:r>
      <w:r w:rsidR="00745E9E">
        <w:rPr>
          <w:sz w:val="30"/>
          <w:szCs w:val="30"/>
        </w:rPr>
        <w:t xml:space="preserve">постановления </w:t>
      </w:r>
      <w:r>
        <w:rPr>
          <w:sz w:val="30"/>
          <w:szCs w:val="30"/>
        </w:rPr>
        <w:t xml:space="preserve">в соответствие с Декретом Президента Республики Беларусь от 23 ноября 2017 г. № 7 </w:t>
      </w:r>
      <w:r w:rsidR="00D846B3">
        <w:rPr>
          <w:sz w:val="30"/>
          <w:szCs w:val="30"/>
        </w:rPr>
        <w:t>”</w:t>
      </w:r>
      <w:r>
        <w:rPr>
          <w:sz w:val="30"/>
          <w:szCs w:val="30"/>
        </w:rPr>
        <w:t>О</w:t>
      </w:r>
      <w:r w:rsidR="00BF3CA4">
        <w:rPr>
          <w:sz w:val="30"/>
          <w:szCs w:val="30"/>
        </w:rPr>
        <w:t> </w:t>
      </w:r>
      <w:r>
        <w:rPr>
          <w:sz w:val="30"/>
          <w:szCs w:val="30"/>
        </w:rPr>
        <w:t>развитии предпринимательства</w:t>
      </w:r>
      <w:r w:rsidR="00D846B3">
        <w:rPr>
          <w:sz w:val="30"/>
          <w:szCs w:val="30"/>
        </w:rPr>
        <w:t>“</w:t>
      </w:r>
      <w:r w:rsidR="00D80413">
        <w:rPr>
          <w:sz w:val="30"/>
          <w:szCs w:val="30"/>
        </w:rPr>
        <w:t>,</w:t>
      </w:r>
      <w:r>
        <w:rPr>
          <w:sz w:val="30"/>
          <w:szCs w:val="30"/>
        </w:rPr>
        <w:t xml:space="preserve"> подпунктом 3.11 пункта 3 которого установлено право субъектов хозяйствования не использовать печати, </w:t>
      </w:r>
      <w:r w:rsidR="00745E9E">
        <w:rPr>
          <w:sz w:val="30"/>
          <w:szCs w:val="30"/>
        </w:rPr>
        <w:t>проинформировала о необходимости внесения</w:t>
      </w:r>
      <w:r>
        <w:rPr>
          <w:sz w:val="30"/>
          <w:szCs w:val="30"/>
        </w:rPr>
        <w:t xml:space="preserve"> корректировки, исключающ</w:t>
      </w:r>
      <w:r w:rsidR="00BF3CA4">
        <w:rPr>
          <w:sz w:val="30"/>
          <w:szCs w:val="30"/>
        </w:rPr>
        <w:t>ей</w:t>
      </w:r>
      <w:r>
        <w:rPr>
          <w:sz w:val="30"/>
          <w:szCs w:val="30"/>
        </w:rPr>
        <w:t xml:space="preserve"> обязанность проставления печати на заявке для участия в конкурсе.</w:t>
      </w:r>
    </w:p>
    <w:p w:rsidR="009143A7" w:rsidRDefault="00BF3CA4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="00FC09DC">
        <w:rPr>
          <w:sz w:val="30"/>
          <w:szCs w:val="30"/>
        </w:rPr>
        <w:t>предлож</w:t>
      </w:r>
      <w:r>
        <w:rPr>
          <w:sz w:val="30"/>
          <w:szCs w:val="30"/>
        </w:rPr>
        <w:t xml:space="preserve">ила </w:t>
      </w:r>
      <w:r w:rsidR="00FC09DC">
        <w:rPr>
          <w:sz w:val="30"/>
          <w:szCs w:val="30"/>
        </w:rPr>
        <w:t xml:space="preserve">исключить из претендентов на награждение в номинации </w:t>
      </w:r>
      <w:r w:rsidR="00D846B3">
        <w:rPr>
          <w:sz w:val="30"/>
          <w:szCs w:val="30"/>
        </w:rPr>
        <w:t>”</w:t>
      </w:r>
      <w:r w:rsidR="00FC09DC">
        <w:rPr>
          <w:sz w:val="30"/>
          <w:szCs w:val="30"/>
        </w:rPr>
        <w:t>Гран-при</w:t>
      </w:r>
      <w:r w:rsidR="00D846B3">
        <w:rPr>
          <w:sz w:val="30"/>
          <w:szCs w:val="30"/>
        </w:rPr>
        <w:t>“</w:t>
      </w:r>
      <w:r w:rsidR="00FC09DC">
        <w:rPr>
          <w:sz w:val="30"/>
          <w:szCs w:val="30"/>
        </w:rPr>
        <w:t xml:space="preserve"> художников</w:t>
      </w:r>
      <w:r>
        <w:rPr>
          <w:sz w:val="30"/>
          <w:szCs w:val="30"/>
        </w:rPr>
        <w:t xml:space="preserve"> изданий, победивших в данной номинации</w:t>
      </w:r>
      <w:r w:rsidR="00FC09DC">
        <w:rPr>
          <w:sz w:val="30"/>
          <w:szCs w:val="30"/>
        </w:rPr>
        <w:t xml:space="preserve">, так как </w:t>
      </w:r>
      <w:r>
        <w:rPr>
          <w:sz w:val="30"/>
          <w:szCs w:val="30"/>
        </w:rPr>
        <w:t>согласно постановлению № 8 участниками конкурса являются издатели, а художники</w:t>
      </w:r>
      <w:r w:rsidR="00FC09D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участвуют в процессе подготовки издания </w:t>
      </w:r>
      <w:r w:rsidR="00FC09DC">
        <w:rPr>
          <w:sz w:val="30"/>
          <w:szCs w:val="30"/>
        </w:rPr>
        <w:t>наря</w:t>
      </w:r>
      <w:r>
        <w:rPr>
          <w:sz w:val="30"/>
          <w:szCs w:val="30"/>
        </w:rPr>
        <w:t>ду с авторами, дизайнерами и другими творческими работник</w:t>
      </w:r>
      <w:r w:rsidR="00745E9E">
        <w:rPr>
          <w:sz w:val="30"/>
          <w:szCs w:val="30"/>
        </w:rPr>
        <w:t xml:space="preserve">ами. </w:t>
      </w:r>
    </w:p>
    <w:p w:rsidR="009E43C7" w:rsidRDefault="00BF3CA4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</w:t>
      </w:r>
      <w:r w:rsidR="00FD69C8">
        <w:rPr>
          <w:sz w:val="30"/>
          <w:szCs w:val="30"/>
        </w:rPr>
        <w:t xml:space="preserve">планируемой </w:t>
      </w:r>
      <w:r>
        <w:rPr>
          <w:sz w:val="30"/>
          <w:szCs w:val="30"/>
        </w:rPr>
        <w:t xml:space="preserve">передачей функций по подсчету голосов секретарю жюри </w:t>
      </w:r>
      <w:r w:rsidR="00FC09DC">
        <w:rPr>
          <w:sz w:val="30"/>
          <w:szCs w:val="30"/>
        </w:rPr>
        <w:t xml:space="preserve">предложила исключить из полномочий оргкомитета определение </w:t>
      </w:r>
      <w:r w:rsidR="00FD69C8">
        <w:rPr>
          <w:sz w:val="30"/>
          <w:szCs w:val="30"/>
        </w:rPr>
        <w:t xml:space="preserve">состава </w:t>
      </w:r>
      <w:r w:rsidR="00FC09DC">
        <w:rPr>
          <w:sz w:val="30"/>
          <w:szCs w:val="30"/>
        </w:rPr>
        <w:t>счетной комиссии</w:t>
      </w:r>
      <w:r w:rsidR="009E43C7">
        <w:rPr>
          <w:sz w:val="30"/>
          <w:szCs w:val="30"/>
        </w:rPr>
        <w:t>.</w:t>
      </w:r>
    </w:p>
    <w:p w:rsidR="00FC09DC" w:rsidRDefault="00FC09DC" w:rsidP="00FC09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C09DC" w:rsidRDefault="00FC09DC" w:rsidP="00FC09DC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173E5A" w:rsidRDefault="00B571B8" w:rsidP="00FD69C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Поддержать предложенные на заседании совета изменения основных подходов к порядку проведения национального конкурса </w:t>
      </w:r>
      <w:r w:rsidR="00D846B3">
        <w:rPr>
          <w:sz w:val="30"/>
          <w:szCs w:val="30"/>
        </w:rPr>
        <w:t>”</w:t>
      </w:r>
      <w:r>
        <w:rPr>
          <w:sz w:val="30"/>
          <w:szCs w:val="30"/>
        </w:rPr>
        <w:t>Искусство книги</w:t>
      </w:r>
      <w:r w:rsidR="00D846B3">
        <w:rPr>
          <w:sz w:val="30"/>
          <w:szCs w:val="30"/>
        </w:rPr>
        <w:t>“</w:t>
      </w:r>
      <w:r w:rsidR="00FD69C8">
        <w:rPr>
          <w:sz w:val="30"/>
          <w:szCs w:val="30"/>
        </w:rPr>
        <w:t xml:space="preserve"> и п</w:t>
      </w:r>
      <w:r w:rsidR="00FC09DC" w:rsidRPr="00FC11D5">
        <w:rPr>
          <w:sz w:val="30"/>
          <w:szCs w:val="30"/>
        </w:rPr>
        <w:t>оручить</w:t>
      </w:r>
      <w:r w:rsidR="00FC09DC">
        <w:rPr>
          <w:sz w:val="30"/>
          <w:szCs w:val="30"/>
        </w:rPr>
        <w:t xml:space="preserve"> управлению издательской и полиграфической деятельности (Андриевич В.В.) совместно с управлением правового обеспечения и контроля за соблюдением законодательства (Мелешко</w:t>
      </w:r>
      <w:r w:rsidR="00491D21">
        <w:rPr>
          <w:sz w:val="30"/>
          <w:szCs w:val="30"/>
        </w:rPr>
        <w:t> </w:t>
      </w:r>
      <w:r w:rsidR="00FC09DC">
        <w:rPr>
          <w:sz w:val="30"/>
          <w:szCs w:val="30"/>
        </w:rPr>
        <w:t xml:space="preserve">В.Н.) </w:t>
      </w:r>
      <w:r w:rsidR="00491D21">
        <w:rPr>
          <w:sz w:val="30"/>
          <w:szCs w:val="30"/>
        </w:rPr>
        <w:t>подготовить проект</w:t>
      </w:r>
      <w:r w:rsidR="00FC09DC">
        <w:rPr>
          <w:sz w:val="30"/>
          <w:szCs w:val="30"/>
        </w:rPr>
        <w:t xml:space="preserve"> постановления, предусматривающ</w:t>
      </w:r>
      <w:r w:rsidR="00491D21">
        <w:rPr>
          <w:sz w:val="30"/>
          <w:szCs w:val="30"/>
        </w:rPr>
        <w:t>ий</w:t>
      </w:r>
      <w:r w:rsidR="00FC09DC">
        <w:rPr>
          <w:sz w:val="30"/>
          <w:szCs w:val="30"/>
        </w:rPr>
        <w:t xml:space="preserve"> корректировку постановления </w:t>
      </w:r>
      <w:r w:rsidR="00FC09DC" w:rsidRPr="008A3292">
        <w:rPr>
          <w:sz w:val="30"/>
          <w:szCs w:val="30"/>
        </w:rPr>
        <w:t xml:space="preserve">Министерства информации Республики Беларусь от </w:t>
      </w:r>
      <w:r w:rsidR="00FC09DC">
        <w:rPr>
          <w:sz w:val="30"/>
          <w:szCs w:val="30"/>
        </w:rPr>
        <w:t>28 мая</w:t>
      </w:r>
      <w:r w:rsidR="00FC09DC" w:rsidRPr="008A3292">
        <w:rPr>
          <w:sz w:val="30"/>
          <w:szCs w:val="30"/>
        </w:rPr>
        <w:t xml:space="preserve"> 2007 г. № </w:t>
      </w:r>
      <w:r w:rsidR="00FC09DC">
        <w:rPr>
          <w:sz w:val="30"/>
          <w:szCs w:val="30"/>
        </w:rPr>
        <w:t>8</w:t>
      </w:r>
      <w:r w:rsidR="00FC09DC" w:rsidRPr="008A3292">
        <w:rPr>
          <w:sz w:val="30"/>
          <w:szCs w:val="30"/>
        </w:rPr>
        <w:t xml:space="preserve"> </w:t>
      </w:r>
      <w:r w:rsidR="00D846B3">
        <w:rPr>
          <w:sz w:val="30"/>
          <w:szCs w:val="30"/>
        </w:rPr>
        <w:t>”</w:t>
      </w:r>
      <w:r w:rsidR="00FC09DC" w:rsidRPr="008A3292">
        <w:rPr>
          <w:sz w:val="30"/>
          <w:szCs w:val="30"/>
        </w:rPr>
        <w:t>Об</w:t>
      </w:r>
      <w:r w:rsidR="00FC09DC">
        <w:rPr>
          <w:sz w:val="30"/>
          <w:szCs w:val="30"/>
        </w:rPr>
        <w:t> </w:t>
      </w:r>
      <w:r w:rsidR="00FC09DC" w:rsidRPr="008A3292">
        <w:rPr>
          <w:sz w:val="30"/>
          <w:szCs w:val="30"/>
        </w:rPr>
        <w:t>утверждении И</w:t>
      </w:r>
      <w:r w:rsidR="00FC09DC">
        <w:rPr>
          <w:sz w:val="30"/>
          <w:szCs w:val="30"/>
        </w:rPr>
        <w:t>нструкции о порядке проведения н</w:t>
      </w:r>
      <w:r w:rsidR="00FC09DC" w:rsidRPr="008A3292">
        <w:rPr>
          <w:sz w:val="30"/>
          <w:szCs w:val="30"/>
        </w:rPr>
        <w:t xml:space="preserve">ационального конкурса </w:t>
      </w:r>
      <w:r w:rsidR="00D846B3">
        <w:rPr>
          <w:sz w:val="30"/>
          <w:szCs w:val="30"/>
        </w:rPr>
        <w:t>”</w:t>
      </w:r>
      <w:r w:rsidR="00FC09DC">
        <w:rPr>
          <w:sz w:val="30"/>
          <w:szCs w:val="30"/>
        </w:rPr>
        <w:t>Искусство книги</w:t>
      </w:r>
      <w:r w:rsidR="00D846B3">
        <w:rPr>
          <w:sz w:val="30"/>
          <w:szCs w:val="30"/>
        </w:rPr>
        <w:t>“</w:t>
      </w:r>
      <w:r w:rsidR="00745E9E">
        <w:rPr>
          <w:sz w:val="30"/>
          <w:szCs w:val="30"/>
        </w:rPr>
        <w:t>,</w:t>
      </w:r>
      <w:r w:rsidR="00FC09DC">
        <w:rPr>
          <w:sz w:val="30"/>
          <w:szCs w:val="30"/>
        </w:rPr>
        <w:t xml:space="preserve"> </w:t>
      </w:r>
      <w:r w:rsidR="00782548">
        <w:rPr>
          <w:sz w:val="30"/>
          <w:szCs w:val="30"/>
        </w:rPr>
        <w:t>включив в него</w:t>
      </w:r>
      <w:r w:rsidR="00173E5A">
        <w:rPr>
          <w:sz w:val="30"/>
          <w:szCs w:val="30"/>
        </w:rPr>
        <w:t xml:space="preserve"> одобренные на заседании </w:t>
      </w:r>
      <w:r w:rsidR="00FC0133">
        <w:rPr>
          <w:sz w:val="30"/>
          <w:szCs w:val="30"/>
        </w:rPr>
        <w:t xml:space="preserve">совета </w:t>
      </w:r>
      <w:r w:rsidR="00173E5A">
        <w:rPr>
          <w:sz w:val="30"/>
          <w:szCs w:val="30"/>
        </w:rPr>
        <w:t>позиции:</w:t>
      </w:r>
    </w:p>
    <w:p w:rsidR="00491D21" w:rsidRDefault="00491D21" w:rsidP="005F4A67">
      <w:pPr>
        <w:ind w:firstLine="720"/>
        <w:jc w:val="both"/>
        <w:rPr>
          <w:sz w:val="30"/>
          <w:szCs w:val="30"/>
        </w:rPr>
      </w:pPr>
      <w:r w:rsidRPr="005F4A67">
        <w:rPr>
          <w:sz w:val="30"/>
          <w:szCs w:val="30"/>
        </w:rPr>
        <w:t>1.</w:t>
      </w:r>
      <w:r w:rsidR="00035938">
        <w:rPr>
          <w:sz w:val="30"/>
          <w:szCs w:val="30"/>
        </w:rPr>
        <w:t> </w:t>
      </w:r>
      <w:r w:rsidR="00173E5A">
        <w:rPr>
          <w:sz w:val="30"/>
          <w:szCs w:val="30"/>
        </w:rPr>
        <w:t xml:space="preserve">об </w:t>
      </w:r>
      <w:r w:rsidRPr="005F4A67">
        <w:rPr>
          <w:sz w:val="30"/>
          <w:szCs w:val="30"/>
        </w:rPr>
        <w:t>измен</w:t>
      </w:r>
      <w:r w:rsidR="00173E5A">
        <w:rPr>
          <w:sz w:val="30"/>
          <w:szCs w:val="30"/>
        </w:rPr>
        <w:t>ении</w:t>
      </w:r>
      <w:r w:rsidRPr="005F4A67">
        <w:rPr>
          <w:sz w:val="30"/>
          <w:szCs w:val="30"/>
        </w:rPr>
        <w:t xml:space="preserve"> дат</w:t>
      </w:r>
      <w:r w:rsidR="00173E5A">
        <w:rPr>
          <w:sz w:val="30"/>
          <w:szCs w:val="30"/>
        </w:rPr>
        <w:t>ы</w:t>
      </w:r>
      <w:r w:rsidRPr="005F4A67">
        <w:rPr>
          <w:sz w:val="30"/>
          <w:szCs w:val="30"/>
        </w:rPr>
        <w:t xml:space="preserve"> проведения конкурса с мая на январь;</w:t>
      </w:r>
    </w:p>
    <w:p w:rsidR="005F4A67" w:rsidRPr="005F4A67" w:rsidRDefault="005F4A67" w:rsidP="005F4A6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173E5A">
        <w:rPr>
          <w:sz w:val="30"/>
          <w:szCs w:val="30"/>
        </w:rPr>
        <w:t xml:space="preserve">об </w:t>
      </w:r>
      <w:r>
        <w:rPr>
          <w:sz w:val="30"/>
          <w:szCs w:val="30"/>
        </w:rPr>
        <w:t>измен</w:t>
      </w:r>
      <w:r w:rsidR="00173E5A">
        <w:rPr>
          <w:sz w:val="30"/>
          <w:szCs w:val="30"/>
        </w:rPr>
        <w:t>ении</w:t>
      </w:r>
      <w:r>
        <w:rPr>
          <w:sz w:val="30"/>
          <w:szCs w:val="30"/>
        </w:rPr>
        <w:t xml:space="preserve"> круг</w:t>
      </w:r>
      <w:r w:rsidR="00173E5A">
        <w:rPr>
          <w:sz w:val="30"/>
          <w:szCs w:val="30"/>
        </w:rPr>
        <w:t>а</w:t>
      </w:r>
      <w:r>
        <w:rPr>
          <w:sz w:val="30"/>
          <w:szCs w:val="30"/>
        </w:rPr>
        <w:t xml:space="preserve"> лиц, имеющих право принимать участие в конкурсе, определив, что таковыми могут быть юридические лица и индивидуальные предприниматели, зарегистрированные в установленном законодательством порядке на территории Республики Беларусь в качестве издателей печатных изданий;</w:t>
      </w:r>
    </w:p>
    <w:p w:rsidR="005F4A67" w:rsidRDefault="005F4A67" w:rsidP="005F4A67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>3.</w:t>
      </w:r>
      <w:r w:rsidRPr="005F4A67">
        <w:rPr>
          <w:sz w:val="30"/>
          <w:szCs w:val="30"/>
        </w:rPr>
        <w:t> </w:t>
      </w:r>
      <w:r w:rsidR="00173E5A">
        <w:rPr>
          <w:sz w:val="30"/>
          <w:szCs w:val="30"/>
        </w:rPr>
        <w:t xml:space="preserve">об </w:t>
      </w:r>
      <w:r w:rsidR="00491D21" w:rsidRPr="005F4A67">
        <w:rPr>
          <w:sz w:val="30"/>
          <w:szCs w:val="30"/>
        </w:rPr>
        <w:t>определ</w:t>
      </w:r>
      <w:r w:rsidR="00173E5A">
        <w:rPr>
          <w:sz w:val="30"/>
          <w:szCs w:val="30"/>
        </w:rPr>
        <w:t>ении</w:t>
      </w:r>
      <w:r w:rsidR="00491D21" w:rsidRPr="005F4A67">
        <w:rPr>
          <w:sz w:val="30"/>
          <w:szCs w:val="30"/>
        </w:rPr>
        <w:t xml:space="preserve"> срок</w:t>
      </w:r>
      <w:r w:rsidR="00173E5A">
        <w:rPr>
          <w:sz w:val="30"/>
          <w:szCs w:val="30"/>
        </w:rPr>
        <w:t>а</w:t>
      </w:r>
      <w:r w:rsidR="00491D21" w:rsidRPr="005F4A67">
        <w:rPr>
          <w:sz w:val="30"/>
          <w:szCs w:val="30"/>
        </w:rPr>
        <w:t xml:space="preserve"> представления материалов на конкурс не позднее 10 января текущего года, </w:t>
      </w:r>
      <w:r>
        <w:rPr>
          <w:sz w:val="30"/>
          <w:szCs w:val="30"/>
        </w:rPr>
        <w:t>а</w:t>
      </w:r>
      <w:r w:rsidR="00491D21" w:rsidRPr="005F4A67">
        <w:rPr>
          <w:sz w:val="30"/>
          <w:szCs w:val="30"/>
        </w:rPr>
        <w:t xml:space="preserve"> срок</w:t>
      </w:r>
      <w:r w:rsidR="00173E5A">
        <w:rPr>
          <w:sz w:val="30"/>
          <w:szCs w:val="30"/>
        </w:rPr>
        <w:t>а</w:t>
      </w:r>
      <w:r w:rsidR="00491D21" w:rsidRPr="005F4A67">
        <w:rPr>
          <w:sz w:val="30"/>
          <w:szCs w:val="30"/>
        </w:rPr>
        <w:t xml:space="preserve"> подведения итогов конкурса </w:t>
      </w:r>
      <w:r>
        <w:rPr>
          <w:sz w:val="30"/>
          <w:szCs w:val="30"/>
        </w:rPr>
        <w:t xml:space="preserve">– </w:t>
      </w:r>
      <w:r w:rsidR="00491D21" w:rsidRPr="005F4A67">
        <w:rPr>
          <w:sz w:val="30"/>
          <w:szCs w:val="30"/>
        </w:rPr>
        <w:t xml:space="preserve">не </w:t>
      </w:r>
      <w:r w:rsidRPr="005F4A67">
        <w:rPr>
          <w:sz w:val="30"/>
          <w:szCs w:val="30"/>
        </w:rPr>
        <w:t>позднее 20 января текущего года</w:t>
      </w:r>
      <w:r>
        <w:rPr>
          <w:sz w:val="30"/>
          <w:szCs w:val="30"/>
        </w:rPr>
        <w:t xml:space="preserve">; </w:t>
      </w:r>
      <w:r w:rsidR="00CD3B37">
        <w:rPr>
          <w:sz w:val="30"/>
          <w:szCs w:val="30"/>
        </w:rPr>
        <w:t>о проведении</w:t>
      </w:r>
      <w:r w:rsidR="00CD3B37" w:rsidRPr="005F4A67">
        <w:rPr>
          <w:sz w:val="30"/>
          <w:szCs w:val="30"/>
        </w:rPr>
        <w:t xml:space="preserve"> </w:t>
      </w:r>
      <w:r w:rsidR="00CD3B37">
        <w:rPr>
          <w:sz w:val="30"/>
          <w:szCs w:val="30"/>
        </w:rPr>
        <w:t>торжественной церемонии</w:t>
      </w:r>
      <w:r w:rsidRPr="005F4A67">
        <w:rPr>
          <w:sz w:val="30"/>
          <w:szCs w:val="30"/>
        </w:rPr>
        <w:t xml:space="preserve"> награждения победителей конкурса в рамках Минской международной книжной выставки-ярмарки</w:t>
      </w:r>
      <w:r>
        <w:rPr>
          <w:sz w:val="30"/>
          <w:szCs w:val="30"/>
        </w:rPr>
        <w:t>;</w:t>
      </w:r>
    </w:p>
    <w:p w:rsidR="005F4A67" w:rsidRDefault="005F4A67" w:rsidP="005F4A67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  <w:t>4. </w:t>
      </w:r>
      <w:r w:rsidR="00FC0133">
        <w:rPr>
          <w:sz w:val="30"/>
          <w:szCs w:val="30"/>
        </w:rPr>
        <w:t xml:space="preserve">о </w:t>
      </w:r>
      <w:r w:rsidR="00FC0133" w:rsidRPr="005F4A67">
        <w:rPr>
          <w:sz w:val="30"/>
          <w:szCs w:val="30"/>
        </w:rPr>
        <w:t>представл</w:t>
      </w:r>
      <w:r w:rsidR="00FC0133">
        <w:rPr>
          <w:sz w:val="30"/>
          <w:szCs w:val="30"/>
        </w:rPr>
        <w:t>ении полн</w:t>
      </w:r>
      <w:r w:rsidR="00CD3B37">
        <w:rPr>
          <w:sz w:val="30"/>
          <w:szCs w:val="30"/>
        </w:rPr>
        <w:t>ого</w:t>
      </w:r>
      <w:r w:rsidR="00FC0133" w:rsidRPr="005F4A67">
        <w:rPr>
          <w:sz w:val="30"/>
          <w:szCs w:val="30"/>
        </w:rPr>
        <w:t xml:space="preserve"> пакет</w:t>
      </w:r>
      <w:r w:rsidR="00CD3B37">
        <w:rPr>
          <w:sz w:val="30"/>
          <w:szCs w:val="30"/>
        </w:rPr>
        <w:t>а</w:t>
      </w:r>
      <w:r w:rsidR="00FC0133" w:rsidRPr="005F4A67">
        <w:rPr>
          <w:sz w:val="30"/>
          <w:szCs w:val="30"/>
        </w:rPr>
        <w:t xml:space="preserve"> докумен</w:t>
      </w:r>
      <w:r w:rsidR="00FC0133">
        <w:rPr>
          <w:sz w:val="30"/>
          <w:szCs w:val="30"/>
        </w:rPr>
        <w:t>тов для каждой номинации</w:t>
      </w:r>
      <w:r w:rsidR="00CD3B37">
        <w:rPr>
          <w:sz w:val="30"/>
          <w:szCs w:val="30"/>
        </w:rPr>
        <w:t xml:space="preserve"> (</w:t>
      </w:r>
      <w:r w:rsidRPr="005F4A67">
        <w:rPr>
          <w:sz w:val="30"/>
          <w:szCs w:val="30"/>
        </w:rPr>
        <w:t>при заявлении издания для участия в нескольких номинациях</w:t>
      </w:r>
      <w:r w:rsidR="00CD3B37">
        <w:rPr>
          <w:sz w:val="30"/>
          <w:szCs w:val="30"/>
        </w:rPr>
        <w:t>);</w:t>
      </w:r>
    </w:p>
    <w:p w:rsidR="005F4A67" w:rsidRDefault="005F4A67" w:rsidP="005F4A67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  <w:t>5. </w:t>
      </w:r>
      <w:r w:rsidR="00173E5A">
        <w:rPr>
          <w:sz w:val="30"/>
          <w:szCs w:val="30"/>
        </w:rPr>
        <w:t xml:space="preserve">о </w:t>
      </w:r>
      <w:r w:rsidRPr="005F4A67">
        <w:rPr>
          <w:sz w:val="30"/>
          <w:szCs w:val="30"/>
        </w:rPr>
        <w:t>дополн</w:t>
      </w:r>
      <w:r w:rsidR="00173E5A">
        <w:rPr>
          <w:sz w:val="30"/>
          <w:szCs w:val="30"/>
        </w:rPr>
        <w:t>е</w:t>
      </w:r>
      <w:r w:rsidR="00FC0133">
        <w:rPr>
          <w:sz w:val="30"/>
          <w:szCs w:val="30"/>
        </w:rPr>
        <w:t>н</w:t>
      </w:r>
      <w:r w:rsidR="00173E5A">
        <w:rPr>
          <w:sz w:val="30"/>
          <w:szCs w:val="30"/>
        </w:rPr>
        <w:t>ии</w:t>
      </w:r>
      <w:r w:rsidRPr="005F4A67">
        <w:rPr>
          <w:sz w:val="30"/>
          <w:szCs w:val="30"/>
        </w:rPr>
        <w:t xml:space="preserve"> нормами, позволяющими принимать на конкурс издания, изготовленные только изготовителями печатных изданий Республики Беларусь,</w:t>
      </w:r>
      <w:r w:rsidRPr="005F4A67">
        <w:rPr>
          <w:i/>
          <w:sz w:val="30"/>
          <w:szCs w:val="30"/>
        </w:rPr>
        <w:t xml:space="preserve"> </w:t>
      </w:r>
      <w:r w:rsidRPr="005F4A67">
        <w:rPr>
          <w:sz w:val="30"/>
          <w:szCs w:val="30"/>
        </w:rPr>
        <w:t>кроме изданий, представляемых в номинации ”Содружество“,</w:t>
      </w:r>
      <w:r w:rsidRPr="005F4A67">
        <w:rPr>
          <w:i/>
          <w:sz w:val="30"/>
          <w:szCs w:val="30"/>
        </w:rPr>
        <w:t xml:space="preserve"> </w:t>
      </w:r>
      <w:r w:rsidRPr="005F4A67">
        <w:rPr>
          <w:sz w:val="30"/>
          <w:szCs w:val="30"/>
        </w:rPr>
        <w:t>в которой могут принимать участие совместные международные издательские проек</w:t>
      </w:r>
      <w:r>
        <w:rPr>
          <w:sz w:val="30"/>
          <w:szCs w:val="30"/>
        </w:rPr>
        <w:t>ты;</w:t>
      </w:r>
    </w:p>
    <w:p w:rsidR="005F4A67" w:rsidRDefault="005F4A67" w:rsidP="005F4A67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ab/>
        <w:t>6. </w:t>
      </w:r>
      <w:r w:rsidR="00173E5A">
        <w:rPr>
          <w:sz w:val="30"/>
          <w:szCs w:val="30"/>
        </w:rPr>
        <w:t xml:space="preserve">об </w:t>
      </w:r>
      <w:r w:rsidRPr="005F4A67">
        <w:rPr>
          <w:color w:val="000000"/>
          <w:sz w:val="30"/>
          <w:szCs w:val="30"/>
        </w:rPr>
        <w:t>исключ</w:t>
      </w:r>
      <w:r w:rsidR="00173E5A">
        <w:rPr>
          <w:color w:val="000000"/>
          <w:sz w:val="30"/>
          <w:szCs w:val="30"/>
        </w:rPr>
        <w:t>ении</w:t>
      </w:r>
      <w:r>
        <w:rPr>
          <w:color w:val="000000"/>
          <w:sz w:val="30"/>
          <w:szCs w:val="30"/>
        </w:rPr>
        <w:t xml:space="preserve"> нормы,</w:t>
      </w:r>
      <w:r w:rsidRPr="005F4A67">
        <w:rPr>
          <w:color w:val="000000"/>
          <w:sz w:val="30"/>
          <w:szCs w:val="30"/>
        </w:rPr>
        <w:t xml:space="preserve"> обяз</w:t>
      </w:r>
      <w:r w:rsidR="00CD3B37">
        <w:rPr>
          <w:color w:val="000000"/>
          <w:sz w:val="30"/>
          <w:szCs w:val="30"/>
        </w:rPr>
        <w:t>ывающей</w:t>
      </w:r>
      <w:r w:rsidRPr="005F4A6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заявителей </w:t>
      </w:r>
      <w:r w:rsidRPr="005F4A67">
        <w:rPr>
          <w:color w:val="000000"/>
          <w:sz w:val="30"/>
          <w:szCs w:val="30"/>
        </w:rPr>
        <w:t>проставл</w:t>
      </w:r>
      <w:r>
        <w:rPr>
          <w:color w:val="000000"/>
          <w:sz w:val="30"/>
          <w:szCs w:val="30"/>
        </w:rPr>
        <w:t>ять</w:t>
      </w:r>
      <w:r w:rsidRPr="005F4A67">
        <w:rPr>
          <w:color w:val="000000"/>
          <w:sz w:val="30"/>
          <w:szCs w:val="30"/>
        </w:rPr>
        <w:t xml:space="preserve"> печати на заявке для участия в конкурсе</w:t>
      </w:r>
      <w:r>
        <w:rPr>
          <w:color w:val="000000"/>
          <w:sz w:val="30"/>
          <w:szCs w:val="30"/>
        </w:rPr>
        <w:t>;</w:t>
      </w:r>
    </w:p>
    <w:p w:rsidR="005F4A67" w:rsidRDefault="005F4A67" w:rsidP="005F4A67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7. </w:t>
      </w:r>
      <w:r w:rsidR="00173E5A">
        <w:rPr>
          <w:color w:val="000000"/>
          <w:sz w:val="30"/>
          <w:szCs w:val="30"/>
        </w:rPr>
        <w:t xml:space="preserve">об </w:t>
      </w:r>
      <w:r w:rsidR="00B571B8">
        <w:rPr>
          <w:color w:val="000000"/>
          <w:sz w:val="30"/>
          <w:szCs w:val="30"/>
        </w:rPr>
        <w:t>измен</w:t>
      </w:r>
      <w:r w:rsidR="00173E5A">
        <w:rPr>
          <w:color w:val="000000"/>
          <w:sz w:val="30"/>
          <w:szCs w:val="30"/>
        </w:rPr>
        <w:t>ении номинаций</w:t>
      </w:r>
      <w:r w:rsidR="00B571B8">
        <w:rPr>
          <w:color w:val="000000"/>
          <w:sz w:val="30"/>
          <w:szCs w:val="30"/>
        </w:rPr>
        <w:t xml:space="preserve"> конкурса;</w:t>
      </w:r>
    </w:p>
    <w:p w:rsidR="005F4A67" w:rsidRDefault="00B571B8" w:rsidP="00B571B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  <w:t>8. </w:t>
      </w:r>
      <w:r w:rsidR="00173E5A">
        <w:rPr>
          <w:color w:val="000000"/>
          <w:sz w:val="30"/>
          <w:szCs w:val="30"/>
        </w:rPr>
        <w:t>об исключении</w:t>
      </w:r>
      <w:r>
        <w:rPr>
          <w:color w:val="000000"/>
          <w:sz w:val="30"/>
          <w:szCs w:val="30"/>
        </w:rPr>
        <w:t xml:space="preserve"> из полномочий </w:t>
      </w:r>
      <w:r w:rsidRPr="00B571B8">
        <w:rPr>
          <w:sz w:val="30"/>
          <w:szCs w:val="30"/>
        </w:rPr>
        <w:t>оргкомитета определени</w:t>
      </w:r>
      <w:r w:rsidR="00173E5A">
        <w:rPr>
          <w:sz w:val="30"/>
          <w:szCs w:val="30"/>
        </w:rPr>
        <w:t>я</w:t>
      </w:r>
      <w:r w:rsidRPr="00B571B8">
        <w:rPr>
          <w:sz w:val="30"/>
          <w:szCs w:val="30"/>
        </w:rPr>
        <w:t xml:space="preserve"> счетной комиссии</w:t>
      </w:r>
      <w:r>
        <w:rPr>
          <w:sz w:val="30"/>
          <w:szCs w:val="30"/>
        </w:rPr>
        <w:t>;</w:t>
      </w:r>
    </w:p>
    <w:p w:rsidR="00B571B8" w:rsidRPr="00B571B8" w:rsidRDefault="00B571B8" w:rsidP="00B571B8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  <w:t>9. </w:t>
      </w:r>
      <w:r w:rsidR="00173E5A">
        <w:rPr>
          <w:sz w:val="30"/>
          <w:szCs w:val="30"/>
        </w:rPr>
        <w:t xml:space="preserve">об </w:t>
      </w:r>
      <w:r w:rsidRPr="00B571B8">
        <w:rPr>
          <w:sz w:val="30"/>
          <w:szCs w:val="30"/>
        </w:rPr>
        <w:t>исключ</w:t>
      </w:r>
      <w:r w:rsidR="00173E5A">
        <w:rPr>
          <w:sz w:val="30"/>
          <w:szCs w:val="30"/>
        </w:rPr>
        <w:t>ении</w:t>
      </w:r>
      <w:r w:rsidRPr="00B571B8">
        <w:rPr>
          <w:sz w:val="30"/>
          <w:szCs w:val="30"/>
        </w:rPr>
        <w:t xml:space="preserve"> из претендентов на награждение в номинации ”Гран-при“ художников изданий, победивших в данной номинации.</w:t>
      </w:r>
    </w:p>
    <w:p w:rsidR="00B571B8" w:rsidRPr="005F4A67" w:rsidRDefault="00B571B8" w:rsidP="00B571B8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571B8" w:rsidRDefault="00FC09DC" w:rsidP="00FC09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035938">
        <w:rPr>
          <w:rFonts w:ascii="Times New Roman" w:hAnsi="Times New Roman" w:cs="Times New Roman"/>
          <w:b/>
          <w:sz w:val="30"/>
          <w:szCs w:val="30"/>
        </w:rPr>
        <w:t>Голосовали:</w:t>
      </w:r>
    </w:p>
    <w:p w:rsidR="00D846B3" w:rsidRDefault="00D846B3" w:rsidP="00FC09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846B3" w:rsidTr="00D846B3">
        <w:tc>
          <w:tcPr>
            <w:tcW w:w="4927" w:type="dxa"/>
          </w:tcPr>
          <w:p w:rsidR="00D846B3" w:rsidRPr="00035938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по позициям 1, 2, 5 и 6: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”за“ – 16</w:t>
            </w: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>”против“ – нет</w:t>
            </w:r>
          </w:p>
          <w:p w:rsidR="00D846B3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”воздержались“ – нет;</w:t>
            </w:r>
          </w:p>
          <w:p w:rsidR="00D846B3" w:rsidRDefault="00D846B3" w:rsidP="00FC09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927" w:type="dxa"/>
          </w:tcPr>
          <w:p w:rsidR="00D846B3" w:rsidRPr="00035938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 позициям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3, 7 и 8</w:t>
            </w: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”за“ – 15</w:t>
            </w: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>”против“ – нет</w:t>
            </w:r>
          </w:p>
          <w:p w:rsidR="00D846B3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”воздержались“ – 1;</w:t>
            </w:r>
          </w:p>
          <w:p w:rsidR="00D846B3" w:rsidRDefault="00D846B3" w:rsidP="00FC09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846B3" w:rsidTr="00D846B3">
        <w:tc>
          <w:tcPr>
            <w:tcW w:w="4927" w:type="dxa"/>
          </w:tcPr>
          <w:p w:rsidR="00D846B3" w:rsidRPr="00035938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по позици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 4</w:t>
            </w: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”за“ – 14</w:t>
            </w: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”против“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D846B3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”воздержались“ – 1;</w:t>
            </w:r>
          </w:p>
          <w:p w:rsidR="00D846B3" w:rsidRDefault="00D846B3" w:rsidP="00FC09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927" w:type="dxa"/>
          </w:tcPr>
          <w:p w:rsidR="00D846B3" w:rsidRPr="00035938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по позици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  <w:r w:rsidRPr="00035938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”за“ – 10</w:t>
            </w: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  <w:p w:rsidR="00D846B3" w:rsidRPr="00FC11D5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FC11D5">
              <w:rPr>
                <w:rFonts w:ascii="Times New Roman" w:hAnsi="Times New Roman" w:cs="Times New Roman"/>
                <w:sz w:val="30"/>
                <w:szCs w:val="30"/>
              </w:rPr>
              <w:t xml:space="preserve">”против“ –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846B3" w:rsidRDefault="00D846B3" w:rsidP="00D846B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”воздержались“ – 4.</w:t>
            </w:r>
          </w:p>
          <w:p w:rsidR="00D846B3" w:rsidRDefault="00D846B3" w:rsidP="00FC09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035938" w:rsidRPr="00035938" w:rsidRDefault="00035938" w:rsidP="00D846B3">
      <w:pPr>
        <w:pStyle w:val="ConsPlusNormal"/>
        <w:widowControl/>
        <w:spacing w:line="360" w:lineRule="auto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FC09DC" w:rsidRDefault="00D846B3" w:rsidP="00FC09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</w:t>
      </w:r>
      <w:r w:rsidR="00FC09DC">
        <w:rPr>
          <w:rFonts w:ascii="Times New Roman" w:hAnsi="Times New Roman" w:cs="Times New Roman"/>
          <w:sz w:val="30"/>
          <w:szCs w:val="30"/>
        </w:rPr>
        <w:t>едседательствующий</w:t>
      </w:r>
      <w:r w:rsidR="00FC09DC"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="00FC09DC" w:rsidRPr="00FC11D5">
        <w:rPr>
          <w:rFonts w:ascii="Times New Roman" w:hAnsi="Times New Roman" w:cs="Times New Roman"/>
          <w:sz w:val="30"/>
          <w:szCs w:val="30"/>
        </w:rPr>
        <w:tab/>
      </w:r>
      <w:r w:rsidR="00FC09DC" w:rsidRPr="00FC11D5">
        <w:rPr>
          <w:rFonts w:ascii="Times New Roman" w:hAnsi="Times New Roman" w:cs="Times New Roman"/>
          <w:sz w:val="30"/>
          <w:szCs w:val="30"/>
        </w:rPr>
        <w:tab/>
      </w:r>
      <w:r w:rsidR="00FC09DC" w:rsidRPr="00FC11D5">
        <w:rPr>
          <w:rFonts w:ascii="Times New Roman" w:hAnsi="Times New Roman" w:cs="Times New Roman"/>
          <w:sz w:val="30"/>
          <w:szCs w:val="30"/>
        </w:rPr>
        <w:tab/>
      </w:r>
      <w:r w:rsidR="00FC09DC"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="00FC09DC"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FC09DC"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FC09DC" w:rsidRPr="00FC11D5" w:rsidRDefault="00FC09DC" w:rsidP="00FC09D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C09DC" w:rsidRDefault="00FC09DC" w:rsidP="00FC09DC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Г.П.Пархимович</w:t>
      </w:r>
    </w:p>
    <w:p w:rsidR="00FC09DC" w:rsidRDefault="00FC09DC" w:rsidP="00FC09DC"/>
    <w:p w:rsidR="00FC09DC" w:rsidRDefault="00FC09DC" w:rsidP="00FC09DC"/>
    <w:p w:rsidR="00FC09DC" w:rsidRDefault="00FC09DC" w:rsidP="00FC09DC"/>
    <w:p w:rsidR="00FC09DC" w:rsidRDefault="00FC09DC" w:rsidP="00FC09DC"/>
    <w:p w:rsidR="00FD3C63" w:rsidRDefault="00FD3C63"/>
    <w:sectPr w:rsidR="00FD3C63" w:rsidSect="00BF3CA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95" w:rsidRDefault="00723395" w:rsidP="00335502">
      <w:r>
        <w:separator/>
      </w:r>
    </w:p>
  </w:endnote>
  <w:endnote w:type="continuationSeparator" w:id="1">
    <w:p w:rsidR="00723395" w:rsidRDefault="00723395" w:rsidP="00335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95" w:rsidRDefault="00723395" w:rsidP="00335502">
      <w:r>
        <w:separator/>
      </w:r>
    </w:p>
  </w:footnote>
  <w:footnote w:type="continuationSeparator" w:id="1">
    <w:p w:rsidR="00723395" w:rsidRDefault="00723395" w:rsidP="00335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BF3CA4" w:rsidRDefault="00335502">
        <w:pPr>
          <w:pStyle w:val="a3"/>
          <w:jc w:val="center"/>
        </w:pPr>
        <w:fldSimple w:instr=" PAGE   \* MERGEFORMAT ">
          <w:r w:rsidR="009E43C7">
            <w:rPr>
              <w:noProof/>
            </w:rPr>
            <w:t>3</w:t>
          </w:r>
        </w:fldSimple>
      </w:p>
    </w:sdtContent>
  </w:sdt>
  <w:p w:rsidR="00BF3CA4" w:rsidRDefault="00BF3C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9DC"/>
    <w:rsid w:val="00035938"/>
    <w:rsid w:val="00073DAD"/>
    <w:rsid w:val="00173E5A"/>
    <w:rsid w:val="00182DB2"/>
    <w:rsid w:val="00335502"/>
    <w:rsid w:val="0041275F"/>
    <w:rsid w:val="004451B1"/>
    <w:rsid w:val="00491D21"/>
    <w:rsid w:val="005C5D12"/>
    <w:rsid w:val="005F4A67"/>
    <w:rsid w:val="005F6250"/>
    <w:rsid w:val="00670AEC"/>
    <w:rsid w:val="00723395"/>
    <w:rsid w:val="00745E9E"/>
    <w:rsid w:val="00782548"/>
    <w:rsid w:val="00792904"/>
    <w:rsid w:val="009143A7"/>
    <w:rsid w:val="0096113A"/>
    <w:rsid w:val="009E43C7"/>
    <w:rsid w:val="00A03B8E"/>
    <w:rsid w:val="00A80BDA"/>
    <w:rsid w:val="00B571B8"/>
    <w:rsid w:val="00BE2EF7"/>
    <w:rsid w:val="00BF3CA4"/>
    <w:rsid w:val="00CD3B37"/>
    <w:rsid w:val="00D80413"/>
    <w:rsid w:val="00D846B3"/>
    <w:rsid w:val="00E12CEA"/>
    <w:rsid w:val="00FC0133"/>
    <w:rsid w:val="00FC09DC"/>
    <w:rsid w:val="00FD3C63"/>
    <w:rsid w:val="00FD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DC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9D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FC09DC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FC09DC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FC09D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FC09DC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FC09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9DC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9D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84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2020-06-23T14:34:00Z</cp:lastPrinted>
  <dcterms:created xsi:type="dcterms:W3CDTF">2020-06-22T11:21:00Z</dcterms:created>
  <dcterms:modified xsi:type="dcterms:W3CDTF">2020-06-23T14:36:00Z</dcterms:modified>
</cp:coreProperties>
</file>