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B4F32" w:rsidRDefault="007B4F32">
      <w:pPr>
        <w:pStyle w:val="newncpi"/>
        <w:ind w:firstLine="0"/>
        <w:jc w:val="center"/>
      </w:pPr>
      <w:bookmarkStart w:id="0" w:name="_GoBack"/>
      <w:bookmarkEnd w:id="0"/>
      <w:r>
        <w:rPr>
          <w:rStyle w:val="name"/>
        </w:rPr>
        <w:t xml:space="preserve">ПОСТАНОВЛЕНИЕ </w:t>
      </w:r>
      <w:r>
        <w:rPr>
          <w:rStyle w:val="promulgator"/>
        </w:rPr>
        <w:t>СОВЕТА МИНИСТРОВ РЕСПУБЛИКИ БЕЛАРУСЬ</w:t>
      </w:r>
    </w:p>
    <w:p w:rsidR="007B4F32" w:rsidRDefault="007B4F32">
      <w:pPr>
        <w:pStyle w:val="newncpi"/>
        <w:ind w:firstLine="0"/>
        <w:jc w:val="center"/>
      </w:pPr>
      <w:r>
        <w:rPr>
          <w:rStyle w:val="datepr"/>
        </w:rPr>
        <w:t>17 августа 2006 г.</w:t>
      </w:r>
      <w:r>
        <w:rPr>
          <w:rStyle w:val="number"/>
        </w:rPr>
        <w:t xml:space="preserve"> № 1055</w:t>
      </w:r>
    </w:p>
    <w:p w:rsidR="007B4F32" w:rsidRDefault="007B4F32">
      <w:pPr>
        <w:pStyle w:val="title"/>
      </w:pPr>
      <w:r>
        <w:t>Об утверждении Правил оказания услуг электросвязи</w:t>
      </w:r>
    </w:p>
    <w:p w:rsidR="007B4F32" w:rsidRDefault="007B4F32">
      <w:pPr>
        <w:pStyle w:val="changei"/>
      </w:pPr>
      <w:r>
        <w:t>Изменения и дополнения:</w:t>
      </w:r>
    </w:p>
    <w:p w:rsidR="007B4F32" w:rsidRDefault="007B4F32">
      <w:pPr>
        <w:pStyle w:val="changeadd"/>
      </w:pPr>
      <w:r>
        <w:t>Постановление Совета Министров Республики Беларусь от 27 ноября 2007 г. № 1615 (Национальный реестр правовых актов Республики Беларусь, 2007 г., № 292, 5/26272) &lt;C20701615&gt;;</w:t>
      </w:r>
    </w:p>
    <w:p w:rsidR="007B4F32" w:rsidRDefault="007B4F32">
      <w:pPr>
        <w:pStyle w:val="changeadd"/>
      </w:pPr>
      <w:r>
        <w:t>Постановление Совета Министров Республики Беларусь от 2 августа 2008 г. № 1103 (Национальный реестр правовых актов Республики Беларусь, 2008 г., № 188, 5/28107) &lt;C20801103&gt;;</w:t>
      </w:r>
    </w:p>
    <w:p w:rsidR="007B4F32" w:rsidRDefault="007B4F32">
      <w:pPr>
        <w:pStyle w:val="changeadd"/>
      </w:pPr>
      <w:r>
        <w:t>Постановление Совета Министров Республики Беларусь от 27 мая 2009 г. № 677 (Национальный реестр правовых актов Республики Беларусь, 2009 г., № 136, 5/29839) &lt;C20900677&gt;;</w:t>
      </w:r>
    </w:p>
    <w:p w:rsidR="007B4F32" w:rsidRDefault="007B4F32">
      <w:pPr>
        <w:pStyle w:val="changeadd"/>
      </w:pPr>
      <w:r>
        <w:t>Постановление Совета Министров Республики Беларусь от 25 января 2010 г. № 84 (Национальный реестр правовых актов Республики Беларусь, 2010 г., № 27, 5/31145) &lt;C21000084&gt;;</w:t>
      </w:r>
    </w:p>
    <w:p w:rsidR="007B4F32" w:rsidRDefault="007B4F32">
      <w:pPr>
        <w:pStyle w:val="changeadd"/>
      </w:pPr>
      <w:r>
        <w:t>Постановление Совета Министров Республики Беларусь от 29 апреля 2010 г. № 646 (Национальный реестр правовых актов Республики Беларусь, 2010 г., № 108, 5/31752) &lt;C21000646&gt;;</w:t>
      </w:r>
    </w:p>
    <w:p w:rsidR="007B4F32" w:rsidRDefault="007B4F32">
      <w:pPr>
        <w:pStyle w:val="changeadd"/>
      </w:pPr>
      <w:r>
        <w:t>Постановление Совета Министров Республики Беларусь от 30 декабря 2010 г. № 1910 (Национальный реестр правовых актов Республики Беларусь, 2011 г., № 11, 5/33160) &lt;C21001910&gt;;</w:t>
      </w:r>
    </w:p>
    <w:p w:rsidR="007B4F32" w:rsidRDefault="007B4F32">
      <w:pPr>
        <w:pStyle w:val="changeadd"/>
      </w:pPr>
      <w:r>
        <w:t>Постановление Совета Министров Республики Беларусь от 9 февраля 2012 г. № 135 (Национальный реестр правовых актов Республики Беларусь, 2012 г., № 21, 5/35250) &lt;C21200135&gt;;</w:t>
      </w:r>
    </w:p>
    <w:p w:rsidR="007B4F32" w:rsidRDefault="007B4F32">
      <w:pPr>
        <w:pStyle w:val="changeadd"/>
      </w:pPr>
      <w:r>
        <w:t>Постановление Совета Министров Республики Беларусь от 22 декабря 2012 г. № 1191 (Национальный правовой Интернет-портал Республики Беларусь, 28.12.2012, 5/36673) &lt;C21201191&gt;;</w:t>
      </w:r>
    </w:p>
    <w:p w:rsidR="007B4F32" w:rsidRDefault="007B4F32">
      <w:pPr>
        <w:pStyle w:val="changeadd"/>
      </w:pPr>
      <w:r>
        <w:t>Постановление Совета Министров Республики Беларусь от 26 сентября 2013 г. № 843 (Национальный правовой Интернет-портал Республики Беларусь, 02.10.2013, 5/37846) &lt;C21300843&gt; - внесены изменения и дополнения, вступившие в силу 3 октября 2013 г., за исключением изменений и дополнений, которые вступят в силу 3 апреля 2014 г.;</w:t>
      </w:r>
    </w:p>
    <w:p w:rsidR="007B4F32" w:rsidRDefault="007B4F32">
      <w:pPr>
        <w:pStyle w:val="changeadd"/>
      </w:pPr>
      <w:r>
        <w:t>Постановление Совета Министров Республики Беларусь от 26 сентября 2013 г. № 843 (Национальный правовой Интернет-портал Республики Беларусь, 02.10.2013, 5/37846) &lt;C21300843&gt; внесены изменения и дополнения, вступившие в силу 3 октября 2013 г. и 3 апреля 2014 г.;</w:t>
      </w:r>
    </w:p>
    <w:p w:rsidR="007B4F32" w:rsidRDefault="007B4F32">
      <w:pPr>
        <w:pStyle w:val="changeadd"/>
      </w:pPr>
      <w:r>
        <w:t>Постановление Совета Министров Республики Беларусь от 31 декабря 2014 г. № 1281 (Национальный правовой Интернет-портал Республики Беларусь, 09.01.2015, 5/39962) &lt;C21401281&gt;;</w:t>
      </w:r>
    </w:p>
    <w:p w:rsidR="007B4F32" w:rsidRDefault="007B4F32">
      <w:pPr>
        <w:pStyle w:val="changeadd"/>
      </w:pPr>
      <w:r>
        <w:t>Постановление Совета Министров Республики Беларусь от 19 июня 2015 г. № 518 (Национальный правовой Интернет-портал Республики Беларусь, 25.06.2015, 5/40690) &lt;C21500518&gt;;</w:t>
      </w:r>
    </w:p>
    <w:p w:rsidR="007B4F32" w:rsidRDefault="007B4F32">
      <w:pPr>
        <w:pStyle w:val="changeadd"/>
      </w:pPr>
      <w:r>
        <w:t>Постановление Совета Министров Республики Беларусь от 13 июля 2015 г. № 589 (Национальный правовой Интернет-портал Республики Беларусь, 16.07.2015, 5/40787) &lt;C21500589&gt;;</w:t>
      </w:r>
    </w:p>
    <w:p w:rsidR="007B4F32" w:rsidRDefault="007B4F32">
      <w:pPr>
        <w:pStyle w:val="changeadd"/>
      </w:pPr>
      <w:r>
        <w:t>Постановление Совета Министров Республики Беларусь от 22 августа 2016 г. № 662 (Национальный правовой Интернет-портал Республики Беларусь, 25.08.2016, 5/42517) &lt;C21600662&gt;;</w:t>
      </w:r>
    </w:p>
    <w:p w:rsidR="007B4F32" w:rsidRDefault="007B4F32">
      <w:pPr>
        <w:pStyle w:val="changeadd"/>
      </w:pPr>
      <w:r>
        <w:lastRenderedPageBreak/>
        <w:t>Постановление Совета Министров Республики Беларусь от 23 января 2017 г. № 63 (Национальный правовой Интернет-портал Республики Беларусь, 27.01.2017, 5/43276) &lt;C21700063&gt;;</w:t>
      </w:r>
    </w:p>
    <w:p w:rsidR="007B4F32" w:rsidRDefault="007B4F32">
      <w:pPr>
        <w:pStyle w:val="changeadd"/>
      </w:pPr>
      <w:r>
        <w:t>Постановление Совета Министров Республики Беларусь от 12 июля 2017 г. № 518 (Национальный правовой Интернет-портал Республики Беларусь, 15.07.2017, 5/43942) &lt;C21700518&gt;;</w:t>
      </w:r>
    </w:p>
    <w:p w:rsidR="007B4F32" w:rsidRDefault="007B4F32">
      <w:pPr>
        <w:pStyle w:val="changeadd"/>
      </w:pPr>
      <w:r>
        <w:t>Постановление Совета Министров Республики Беларусь от 26 сентября 2022 г. № 645 (Национальный правовой Интернет-портал Республики Беларусь, 29.09.2022, 5/50752) &lt;C22200645&gt;;</w:t>
      </w:r>
    </w:p>
    <w:p w:rsidR="007B4F32" w:rsidRDefault="007B4F32">
      <w:pPr>
        <w:pStyle w:val="changeadd"/>
      </w:pPr>
      <w:r>
        <w:t>Постановление Совета Министров Республики Беларусь от 30 сентября 2023 г. № 650 (Национальный правовой Интернет-портал Республики Беларусь, 04.10.2023, 5/52184) &lt;C22300650&gt;;</w:t>
      </w:r>
    </w:p>
    <w:p w:rsidR="007B4F32" w:rsidRDefault="007B4F32">
      <w:pPr>
        <w:pStyle w:val="changeadd"/>
      </w:pPr>
      <w:r>
        <w:t>Постановление Совета Министров Республики Беларусь от 31 декабря 2024 г. № 1073 (Национальный правовой Интернет-портал Республики Беларусь, 14.01.2025, 5/54481) &lt;C22401073&gt;;</w:t>
      </w:r>
    </w:p>
    <w:p w:rsidR="007B4F32" w:rsidRDefault="007B4F32">
      <w:pPr>
        <w:pStyle w:val="changeadd"/>
      </w:pPr>
      <w:r>
        <w:t>Постановление Совета Министров Республики Беларусь от 30 сентября 2025 г. № 540 (Национальный правовой Интернет-портал Республики Беларусь, 04.10.2025, 6-1/55317) &lt;C22500540&gt;</w:t>
      </w:r>
    </w:p>
    <w:p w:rsidR="007B4F32" w:rsidRDefault="007B4F32">
      <w:pPr>
        <w:pStyle w:val="preamble"/>
      </w:pPr>
      <w:r>
        <w:t> </w:t>
      </w:r>
    </w:p>
    <w:p w:rsidR="007B4F32" w:rsidRDefault="007B4F32">
      <w:pPr>
        <w:pStyle w:val="newncpi"/>
      </w:pPr>
      <w:r>
        <w:t>На основании статьи 48 Закона Республики Беларусь от 19 июля 2005 г. № 45-З «Об электросвязи» Совет Министров Республики Беларусь ПОСТАНОВЛЯЕТ:</w:t>
      </w:r>
    </w:p>
    <w:p w:rsidR="007B4F32" w:rsidRDefault="007B4F32">
      <w:pPr>
        <w:pStyle w:val="point"/>
      </w:pPr>
      <w:r>
        <w:t>1. Утвердить Правила оказания услуг электросвязи (прилагаются).</w:t>
      </w:r>
    </w:p>
    <w:p w:rsidR="007B4F32" w:rsidRDefault="007B4F32">
      <w:pPr>
        <w:pStyle w:val="point"/>
      </w:pPr>
      <w:r>
        <w:t>2. Настоящее постановление вступает в силу после его официального опубликования.</w:t>
      </w:r>
    </w:p>
    <w:p w:rsidR="007B4F32" w:rsidRDefault="007B4F32">
      <w:pPr>
        <w:pStyle w:val="newncpi"/>
      </w:pPr>
      <w:r>
        <w:t> </w:t>
      </w:r>
    </w:p>
    <w:tbl>
      <w:tblPr>
        <w:tblW w:w="5000" w:type="pct"/>
        <w:tblCellMar>
          <w:left w:w="0" w:type="dxa"/>
          <w:right w:w="0" w:type="dxa"/>
        </w:tblCellMar>
        <w:tblLook w:val="04A0" w:firstRow="1" w:lastRow="0" w:firstColumn="1" w:lastColumn="0" w:noHBand="0" w:noVBand="1"/>
      </w:tblPr>
      <w:tblGrid>
        <w:gridCol w:w="4684"/>
        <w:gridCol w:w="4685"/>
      </w:tblGrid>
      <w:tr w:rsidR="007B4F32">
        <w:tc>
          <w:tcPr>
            <w:tcW w:w="2500" w:type="pct"/>
            <w:tcMar>
              <w:top w:w="0" w:type="dxa"/>
              <w:left w:w="6" w:type="dxa"/>
              <w:bottom w:w="0" w:type="dxa"/>
              <w:right w:w="6" w:type="dxa"/>
            </w:tcMar>
            <w:vAlign w:val="bottom"/>
            <w:hideMark/>
          </w:tcPr>
          <w:p w:rsidR="007B4F32" w:rsidRDefault="007B4F32">
            <w:pPr>
              <w:pStyle w:val="newncpi0"/>
              <w:jc w:val="left"/>
            </w:pPr>
            <w:r>
              <w:rPr>
                <w:rStyle w:val="post"/>
              </w:rPr>
              <w:t>Премьер-министр Республики Беларусь</w:t>
            </w:r>
          </w:p>
        </w:tc>
        <w:tc>
          <w:tcPr>
            <w:tcW w:w="2500" w:type="pct"/>
            <w:tcMar>
              <w:top w:w="0" w:type="dxa"/>
              <w:left w:w="6" w:type="dxa"/>
              <w:bottom w:w="0" w:type="dxa"/>
              <w:right w:w="6" w:type="dxa"/>
            </w:tcMar>
            <w:vAlign w:val="bottom"/>
            <w:hideMark/>
          </w:tcPr>
          <w:p w:rsidR="007B4F32" w:rsidRDefault="007B4F32">
            <w:pPr>
              <w:pStyle w:val="newncpi0"/>
              <w:jc w:val="right"/>
            </w:pPr>
            <w:r>
              <w:rPr>
                <w:rStyle w:val="pers"/>
              </w:rPr>
              <w:t>С.Сидорский</w:t>
            </w:r>
          </w:p>
        </w:tc>
      </w:tr>
    </w:tbl>
    <w:p w:rsidR="007B4F32" w:rsidRDefault="007B4F32">
      <w:pPr>
        <w:pStyle w:val="newncpi"/>
      </w:pPr>
      <w:r>
        <w:t> </w:t>
      </w:r>
    </w:p>
    <w:tbl>
      <w:tblPr>
        <w:tblW w:w="5000" w:type="pct"/>
        <w:tblCellMar>
          <w:left w:w="0" w:type="dxa"/>
          <w:right w:w="0" w:type="dxa"/>
        </w:tblCellMar>
        <w:tblLook w:val="04A0" w:firstRow="1" w:lastRow="0" w:firstColumn="1" w:lastColumn="0" w:noHBand="0" w:noVBand="1"/>
      </w:tblPr>
      <w:tblGrid>
        <w:gridCol w:w="6673"/>
        <w:gridCol w:w="2696"/>
      </w:tblGrid>
      <w:tr w:rsidR="007B4F32">
        <w:tc>
          <w:tcPr>
            <w:tcW w:w="3561" w:type="pct"/>
            <w:tcMar>
              <w:top w:w="0" w:type="dxa"/>
              <w:left w:w="6" w:type="dxa"/>
              <w:bottom w:w="0" w:type="dxa"/>
              <w:right w:w="6" w:type="dxa"/>
            </w:tcMar>
            <w:hideMark/>
          </w:tcPr>
          <w:p w:rsidR="007B4F32" w:rsidRDefault="007B4F32">
            <w:pPr>
              <w:pStyle w:val="cap1"/>
            </w:pPr>
            <w:r>
              <w:t> </w:t>
            </w:r>
          </w:p>
        </w:tc>
        <w:tc>
          <w:tcPr>
            <w:tcW w:w="1439" w:type="pct"/>
            <w:tcMar>
              <w:top w:w="0" w:type="dxa"/>
              <w:left w:w="6" w:type="dxa"/>
              <w:bottom w:w="0" w:type="dxa"/>
              <w:right w:w="6" w:type="dxa"/>
            </w:tcMar>
            <w:hideMark/>
          </w:tcPr>
          <w:p w:rsidR="007B4F32" w:rsidRDefault="007B4F32">
            <w:pPr>
              <w:pStyle w:val="capu1"/>
            </w:pPr>
            <w:r>
              <w:t>УТВЕРЖДЕНО</w:t>
            </w:r>
          </w:p>
          <w:p w:rsidR="007B4F32" w:rsidRDefault="007B4F32">
            <w:pPr>
              <w:pStyle w:val="cap1"/>
            </w:pPr>
            <w:r>
              <w:t>Постановление</w:t>
            </w:r>
          </w:p>
          <w:p w:rsidR="007B4F32" w:rsidRDefault="007B4F32">
            <w:pPr>
              <w:pStyle w:val="cap1"/>
            </w:pPr>
            <w:r>
              <w:t>Совета Министров</w:t>
            </w:r>
          </w:p>
          <w:p w:rsidR="007B4F32" w:rsidRDefault="007B4F32">
            <w:pPr>
              <w:pStyle w:val="cap1"/>
            </w:pPr>
            <w:r>
              <w:t>Республики Беларусь</w:t>
            </w:r>
          </w:p>
          <w:p w:rsidR="007B4F32" w:rsidRDefault="007B4F32">
            <w:pPr>
              <w:pStyle w:val="cap1"/>
            </w:pPr>
            <w:r>
              <w:t>17.08.2006 № 1055</w:t>
            </w:r>
          </w:p>
          <w:p w:rsidR="007B4F32" w:rsidRDefault="007B4F32">
            <w:pPr>
              <w:pStyle w:val="cap1"/>
            </w:pPr>
            <w:r>
              <w:t>(в редакции постановления</w:t>
            </w:r>
          </w:p>
          <w:p w:rsidR="007B4F32" w:rsidRDefault="007B4F32">
            <w:pPr>
              <w:pStyle w:val="cap1"/>
            </w:pPr>
            <w:r>
              <w:t>Совета Министров</w:t>
            </w:r>
          </w:p>
          <w:p w:rsidR="007B4F32" w:rsidRDefault="007B4F32">
            <w:pPr>
              <w:pStyle w:val="cap1"/>
            </w:pPr>
            <w:r>
              <w:t>Республики Беларусь</w:t>
            </w:r>
          </w:p>
          <w:p w:rsidR="007B4F32" w:rsidRDefault="007B4F32">
            <w:pPr>
              <w:pStyle w:val="cap1"/>
            </w:pPr>
            <w:r>
              <w:t>26.09.2022 № 645)</w:t>
            </w:r>
          </w:p>
        </w:tc>
      </w:tr>
    </w:tbl>
    <w:p w:rsidR="007B4F32" w:rsidRDefault="007B4F32">
      <w:pPr>
        <w:pStyle w:val="titleu"/>
      </w:pPr>
      <w:r>
        <w:t>ПРАВИЛА</w:t>
      </w:r>
      <w:r>
        <w:br/>
        <w:t>оказания услуг электросвязи</w:t>
      </w:r>
    </w:p>
    <w:p w:rsidR="007B4F32" w:rsidRDefault="007B4F32">
      <w:pPr>
        <w:pStyle w:val="chapter"/>
      </w:pPr>
      <w:r>
        <w:t>ГЛАВА 1</w:t>
      </w:r>
      <w:r>
        <w:br/>
        <w:t>ОБЩИЕ ПОЛОЖЕНИЯ</w:t>
      </w:r>
    </w:p>
    <w:p w:rsidR="007B4F32" w:rsidRDefault="007B4F32">
      <w:pPr>
        <w:pStyle w:val="point"/>
      </w:pPr>
      <w:r>
        <w:t>1. Настоящие Правила разработаны на основании статьи 48 Закона Республики Беларусь «Об электросвязи» и устанавливают порядок заключения и выполнения договора об оказании услуг электросвязи (далее, если не указано иное, – договор), а также порядок и основания для приостановления и расторжения договора, права и обязанности сторон, формы и порядок расчетов за оказание услуг электросвязи, ответственность сторон и иные условия договора.</w:t>
      </w:r>
    </w:p>
    <w:p w:rsidR="007B4F32" w:rsidRDefault="007B4F32">
      <w:pPr>
        <w:pStyle w:val="point"/>
      </w:pPr>
      <w:r>
        <w:t xml:space="preserve">2. Действие настоящих Правил не распространяется на оказание услуг электросвязи посредством сетей электросвязи специального назначения, предназначенных для обеспечения нужд государственного управления, национальной безопасности, охраны правопорядка, предупреждения и ликвидации чрезвычайных ситуаций, а также </w:t>
      </w:r>
      <w:r>
        <w:lastRenderedPageBreak/>
        <w:t>выделенных и технологических сетей электросвязи, не имеющих выхода на сеть электросвязи общего пользования.</w:t>
      </w:r>
    </w:p>
    <w:p w:rsidR="007B4F32" w:rsidRDefault="007B4F32">
      <w:pPr>
        <w:pStyle w:val="point"/>
      </w:pPr>
      <w:r>
        <w:t>3. В настоящих Правилах применяются основные термины и их определения в значениях, установленных Законом Республики Беларусь «Об электросвязи», законами Республики Беларусь от 15 декабря 2003 г. № 258-З «О почтовой связи», от 17 июля 2008 г. № 427-З «О средствах массовой информации», от 7 мая 2021 г. № 99-З «О защите персональных данных», а также следующие термины и их определения:</w:t>
      </w:r>
    </w:p>
    <w:p w:rsidR="007B4F32" w:rsidRDefault="007B4F32">
      <w:pPr>
        <w:pStyle w:val="newncpi"/>
      </w:pPr>
      <w:r>
        <w:t>абонентский номер – открытая именная и (или) адресная информация, предоставляемая абоненту в пользование при заключении договора и идентифицирующая его при соединении с ним других абонентов, в формате стандарта, используемого в сети оператора электросвязи;</w:t>
      </w:r>
    </w:p>
    <w:p w:rsidR="007B4F32" w:rsidRDefault="007B4F32">
      <w:pPr>
        <w:pStyle w:val="newncpi"/>
      </w:pPr>
      <w:r>
        <w:t>адресат – пользователь услуг электросвязи, которому адресуется телеграмма;</w:t>
      </w:r>
    </w:p>
    <w:p w:rsidR="007B4F32" w:rsidRDefault="007B4F32">
      <w:pPr>
        <w:pStyle w:val="newncpi"/>
      </w:pPr>
      <w:r>
        <w:t>адрес доставки – место доставки телеграммы, определяемое пользователем услуг электросвязи;</w:t>
      </w:r>
    </w:p>
    <w:p w:rsidR="007B4F32" w:rsidRDefault="007B4F32">
      <w:pPr>
        <w:pStyle w:val="newncpi"/>
      </w:pPr>
      <w:r>
        <w:t>адресные данные пользователей услуг электросвязи – информация о физических лицах (место жительства, фамилия, собственное имя, отчество (если таковое имеется) или юридических лицах (место нахождения и полное наименование);</w:t>
      </w:r>
    </w:p>
    <w:p w:rsidR="007B4F32" w:rsidRDefault="007B4F32">
      <w:pPr>
        <w:pStyle w:val="newncpi"/>
      </w:pPr>
      <w:r>
        <w:t>единица тарификации – объем услуги, за оказание которой с абонента или пользователя услуг электросвязи взимается плата, равная тарифу, установленному для данного вида услуги;</w:t>
      </w:r>
    </w:p>
    <w:p w:rsidR="007B4F32" w:rsidRDefault="007B4F32">
      <w:pPr>
        <w:pStyle w:val="newncpi"/>
      </w:pPr>
      <w:r>
        <w:t>заявитель – лицо, обратившееся к оператору электросвязи или поставщику услуг электросвязи с заявлением о заключении договора;</w:t>
      </w:r>
    </w:p>
    <w:p w:rsidR="007B4F32" w:rsidRDefault="007B4F32">
      <w:pPr>
        <w:pStyle w:val="newncpi"/>
      </w:pPr>
      <w:r>
        <w:t>зона обслуживания – заявленная оператором электросвязи территория, в пределах которой оператор электросвязи оказывает услуги электросвязи в соответствии с установленными параметрами (показателями) качества;</w:t>
      </w:r>
    </w:p>
    <w:p w:rsidR="007B4F32" w:rsidRDefault="007B4F32">
      <w:pPr>
        <w:pStyle w:val="newncpi"/>
      </w:pPr>
      <w:r>
        <w:t>зона уверенного приема (зона покрытия) – территория, в пределах которой уровни полезных сигналов передающих (базовых) станций сети сотовой подвижной электросвязи на входе приемников испытательных аппаратно-программных комплексов, испытательных подвижных станций превышают нормируемые значения;</w:t>
      </w:r>
    </w:p>
    <w:p w:rsidR="007B4F32" w:rsidRDefault="007B4F32">
      <w:pPr>
        <w:pStyle w:val="newncpi"/>
      </w:pPr>
      <w:r>
        <w:t>карта доступа – SIM-карта, RUIM-карта, USIM-карта, E-sim или иной модуль, в том числе встроенный в оконечное абонентское устройство (терминал), с помощью которого обеспечивается идентификация абонента и доступ его оконечного абонентского устройства (терминала) к сети электросвязи;</w:t>
      </w:r>
    </w:p>
    <w:p w:rsidR="007B4F32" w:rsidRDefault="007B4F32">
      <w:pPr>
        <w:pStyle w:val="newncpi"/>
      </w:pPr>
      <w:r>
        <w:t>лицевой счет – счет в расчетной системе оператора электросвязи, предназначенный для учета оказываемых абоненту услуг электросвязи, учета поступления и расходования денежных средств за услуги электросвязи;</w:t>
      </w:r>
    </w:p>
    <w:p w:rsidR="007B4F32" w:rsidRDefault="007B4F32">
      <w:pPr>
        <w:pStyle w:val="newncpi"/>
      </w:pPr>
      <w:r>
        <w:t>местная сеть электросвязи – часть сети стационарной электросвязи одного оператора электросвязи, обеспечивающая пользователям услуг электросвязи этого оператора возможность устанавливать соединения электросвязи в пределах территории города и (или) района;</w:t>
      </w:r>
    </w:p>
    <w:p w:rsidR="007B4F32" w:rsidRDefault="007B4F32">
      <w:pPr>
        <w:pStyle w:val="newncpi"/>
      </w:pPr>
      <w:r>
        <w:t>оператор сотовой подвижной электросвязи – юридическое лицо или индивидуальный предприниматель, имеющие право на оказание услуг сотовой подвижной электросвязи на основании лицензии на деятельность в области связи;</w:t>
      </w:r>
    </w:p>
    <w:p w:rsidR="007B4F32" w:rsidRDefault="007B4F32">
      <w:pPr>
        <w:pStyle w:val="newncpi"/>
      </w:pPr>
      <w:r>
        <w:t>оператор-донор – оператор сотовой подвижной электросвязи, в сети которого обслуживается абонент до переноса абонентского номера (номеров) в сеть другого оператора сотовой подвижной электросвязи;</w:t>
      </w:r>
    </w:p>
    <w:p w:rsidR="007B4F32" w:rsidRDefault="007B4F32">
      <w:pPr>
        <w:pStyle w:val="newncpi"/>
      </w:pPr>
      <w:r>
        <w:t>оператор-реципиент – оператор сотовой подвижной электросвязи, в сети которого обслуживается абонент после переноса абонентского номера (номеров) из сети другого оператора сотовой подвижной электросвязи;</w:t>
      </w:r>
    </w:p>
    <w:p w:rsidR="007B4F32" w:rsidRDefault="007B4F32">
      <w:pPr>
        <w:pStyle w:val="newncpi"/>
      </w:pPr>
      <w:r>
        <w:t>отправитель – пользователь услуг электросвязи, который подает телеграмму работнику пункта приема телеграммы для доставки ее адресату;</w:t>
      </w:r>
    </w:p>
    <w:p w:rsidR="007B4F32" w:rsidRDefault="007B4F32">
      <w:pPr>
        <w:pStyle w:val="newncpi"/>
      </w:pPr>
      <w:r>
        <w:lastRenderedPageBreak/>
        <w:t>поставщик услуг ОТТ-сервиса – поставщик услуг электросвязи, предоставляющий доступ к телепрограммам посредством глобальной компьютерной сети Интернет (далее – сеть Интернет);</w:t>
      </w:r>
    </w:p>
    <w:p w:rsidR="007B4F32" w:rsidRDefault="007B4F32">
      <w:pPr>
        <w:pStyle w:val="newncpi"/>
      </w:pPr>
      <w:r>
        <w:t>пункт приема телеграммы – объект электросвязи или почтовой связи, в котором отправителю телеграммы оказываются услуги электросвязи по приему телеграмм;</w:t>
      </w:r>
    </w:p>
    <w:p w:rsidR="007B4F32" w:rsidRDefault="007B4F32">
      <w:pPr>
        <w:pStyle w:val="newncpi"/>
      </w:pPr>
      <w:r>
        <w:t>рассылка СМС-сообщений – автоматическая передача абонентам СМС-сообщений по сети сотовой подвижной электросвязи;</w:t>
      </w:r>
    </w:p>
    <w:p w:rsidR="007B4F32" w:rsidRDefault="007B4F32">
      <w:pPr>
        <w:pStyle w:val="newncpi"/>
      </w:pPr>
      <w:r>
        <w:t>расширенный пакет телепрограмм – перечень телепрограмм белорусского и иностранного производства, распространяемых помимо обязательного общедоступного пакета телепрограмм;</w:t>
      </w:r>
    </w:p>
    <w:p w:rsidR="007B4F32" w:rsidRDefault="007B4F32">
      <w:pPr>
        <w:pStyle w:val="newncpi"/>
      </w:pPr>
      <w:r>
        <w:t>роуминг – оказание услуг сотовой подвижной электросвязи абоненту одного оператора сотовой подвижной электросвязи в сети другого оператора сотовой подвижной электросвязи;</w:t>
      </w:r>
    </w:p>
    <w:p w:rsidR="007B4F32" w:rsidRDefault="007B4F32">
      <w:pPr>
        <w:pStyle w:val="newncpi"/>
      </w:pPr>
      <w:r>
        <w:t>сеть сотовой подвижной электросвязи – сеть электросвязи, использующая деление обслуживаемой территории (зоны покрытия) на ряд ячеек (сот), образуемых базовыми станциями, и обеспечивающая подвижным абонентам возможность установления связи между собой и с абонентами других сетей электросвязи;</w:t>
      </w:r>
    </w:p>
    <w:p w:rsidR="007B4F32" w:rsidRDefault="007B4F32">
      <w:pPr>
        <w:pStyle w:val="newncpi"/>
      </w:pPr>
      <w:r>
        <w:t>сеть стационарной электросвязи – сеть электросвязи, обеспечивающая стационарным абонентам возможность установления связи между собой и абонентами других сетей электросвязи;</w:t>
      </w:r>
    </w:p>
    <w:p w:rsidR="007B4F32" w:rsidRDefault="007B4F32">
      <w:pPr>
        <w:pStyle w:val="newncpi"/>
      </w:pPr>
      <w:r>
        <w:t>система кабельного телевидения – система, включающая в себя радиоэлектронные средства, иные технические средства и кабельные линии электросвязи, обеспечивающая трансляцию телепрограмм и других сообщений электросвязи широкому кругу пользователей с использованием радиочастотного спектра;</w:t>
      </w:r>
    </w:p>
    <w:p w:rsidR="007B4F32" w:rsidRDefault="007B4F32">
      <w:pPr>
        <w:pStyle w:val="newncpi"/>
      </w:pPr>
      <w:r>
        <w:t>сервис мгновенного обмена сообщениями (мессенджер) – сервис, основанный на информационно-коммуникационных технологиях, функционирующий в том числе с использованием программных средств, устанавливаемых на оконечные абонентские устройства (терминалы) абонентов (пользователей услуг электросвязи), позволяющий обеспечивать обмен сообщениями, изображениями, файлами и иной информацией между оконечными абонентскими устройствами (терминалами) в режиме реального времени;</w:t>
      </w:r>
    </w:p>
    <w:p w:rsidR="007B4F32" w:rsidRDefault="007B4F32">
      <w:pPr>
        <w:pStyle w:val="newncpi"/>
      </w:pPr>
      <w:r>
        <w:t>служба технической поддержки – структурное подразделение оператора электросвязи, поставщика услуг электросвязи, осуществляющее консультирование, прием информации (заявок) о технических неисправностях, препятствующих пользованию услугами электросвязи, восстановление работоспособности линий и средств электросвязи;</w:t>
      </w:r>
    </w:p>
    <w:p w:rsidR="007B4F32" w:rsidRDefault="007B4F32">
      <w:pPr>
        <w:pStyle w:val="newncpi"/>
      </w:pPr>
      <w:r>
        <w:t>соединение электросвязи – состояние сети электросвязи, при котором обеспечивается электросвязь между средствами электросвязи и (или) оконечными абонентскими устройствами (терминалами) по каналам электросвязи;</w:t>
      </w:r>
    </w:p>
    <w:p w:rsidR="007B4F32" w:rsidRDefault="007B4F32">
      <w:pPr>
        <w:pStyle w:val="newncpi"/>
      </w:pPr>
      <w:r>
        <w:t>справочно-информационная служба – структурное подразделение оператора электросвязи, поставщика услуг электросвязи, оказывающее пользователям услуг электросвязи справочно-информационные услуги;</w:t>
      </w:r>
    </w:p>
    <w:p w:rsidR="007B4F32" w:rsidRDefault="007B4F32">
      <w:pPr>
        <w:pStyle w:val="newncpi"/>
      </w:pPr>
      <w:r>
        <w:t>справочно-информационные услуги – услуги по предоставлению информации справочно-информационного характера;</w:t>
      </w:r>
    </w:p>
    <w:p w:rsidR="007B4F32" w:rsidRDefault="007B4F32">
      <w:pPr>
        <w:pStyle w:val="newncpi"/>
      </w:pPr>
      <w:r>
        <w:t>телеграмма – текстовое сообщение, предназначенное для передачи средствами телеграфной связи в целях доставки адресату;</w:t>
      </w:r>
    </w:p>
    <w:p w:rsidR="007B4F32" w:rsidRDefault="007B4F32">
      <w:pPr>
        <w:pStyle w:val="newncpi"/>
      </w:pPr>
      <w:r>
        <w:t>уникальный код идентификации – буквенное, цифровое, символьное обозначение или комбинация таких обозначений, предназначенные для однозначного определения (идентификации) оператором электросвязи или поставщиком услуг электросвязи абонента или оконечного абонентского устройства (терминала), подключенного к сети электросвязи, в целях обеспечения доступа к услугам электросвязи;</w:t>
      </w:r>
    </w:p>
    <w:p w:rsidR="007B4F32" w:rsidRDefault="007B4F32">
      <w:pPr>
        <w:pStyle w:val="newncpi"/>
      </w:pPr>
      <w:r>
        <w:t xml:space="preserve">услуга по предоставлению местного, междугородного и международного телефонного соединения – услуга электросвязи по предоставлению пользователям услуг электросвязи телефонного соединения оконечного абонентского устройства (терминала) </w:t>
      </w:r>
      <w:r>
        <w:lastRenderedPageBreak/>
        <w:t>пользователя универсальных услуг электросвязи с оконечными абонентскими устройствами (терминалами) местных сетей электросвязи, сетей сотовой подвижной электросвязи, сетей электросвязи иностранных государств посредством сети электросвязи оператора универсального обслуживания;</w:t>
      </w:r>
    </w:p>
    <w:p w:rsidR="007B4F32" w:rsidRDefault="007B4F32">
      <w:pPr>
        <w:pStyle w:val="newncpi"/>
      </w:pPr>
      <w:r>
        <w:t>услуга передачи данных – услуга электросвязи по приему, передаче, обработке и хранению данных;</w:t>
      </w:r>
    </w:p>
    <w:p w:rsidR="007B4F32" w:rsidRDefault="007B4F32">
      <w:pPr>
        <w:pStyle w:val="newncpi"/>
      </w:pPr>
      <w:r>
        <w:t>услуга переносимости абонентского номера (номеров) сотовой подвижной электросвязи – услуга электросвязи по сохранению за абонентом его абонентского номера (номеров) сотовой подвижной электросвязи при смене абонентом оператора сотовой подвижной электросвязи;</w:t>
      </w:r>
    </w:p>
    <w:p w:rsidR="007B4F32" w:rsidRDefault="007B4F32">
      <w:pPr>
        <w:pStyle w:val="newncpi"/>
      </w:pPr>
      <w:r>
        <w:t>услуга по предоставлению доступа к сети стационарной электросвязи с использованием оконечного абонентского устройства (терминала) – услуга электросвязи по подключению оконечного абонентского устройства (терминала) абонента к сети стационарной электросвязи для организации предоставления услуг электросвязи общего пользования (по выбору абонента) и в случае необходимости предоставления абонентского номера;</w:t>
      </w:r>
    </w:p>
    <w:p w:rsidR="007B4F32" w:rsidRDefault="007B4F32">
      <w:pPr>
        <w:pStyle w:val="newncpi"/>
      </w:pPr>
      <w:r>
        <w:t>услуга по предоставлению междугородного телефонного соединения – услуга телефонной связи по предоставлению телефонного соединения между оконечными абонентскими устройствами (терминалами), расположенными в разных местных сетях электросвязи, или между оконечным абонентским устройством (терминалом) местной сети электросвязи и оконечным абонентским устройством (терминалом) сети сотовой подвижной электросвязи;</w:t>
      </w:r>
    </w:p>
    <w:p w:rsidR="007B4F32" w:rsidRDefault="007B4F32">
      <w:pPr>
        <w:pStyle w:val="newncpi"/>
      </w:pPr>
      <w:r>
        <w:t>услуга по предоставлению международного телефонного соединения – услуга телефонной связи по предоставлению телефонного соединения между оконечным абонентским устройством (терминалом) сети электросвязи Республики Беларусь и оконечным абонентским устройством (терминалом) сети электросвязи иностранного государства;</w:t>
      </w:r>
    </w:p>
    <w:p w:rsidR="007B4F32" w:rsidRDefault="007B4F32">
      <w:pPr>
        <w:pStyle w:val="newncpi"/>
      </w:pPr>
      <w:r>
        <w:t>услуга по предоставлению местного телефонного соединения – услуга телефонной связи по предоставлению телефонного соединения между оконечными абонентскими устройствами (терминалами), расположенными в одной местной сети электросвязи;</w:t>
      </w:r>
    </w:p>
    <w:p w:rsidR="007B4F32" w:rsidRDefault="007B4F32">
      <w:pPr>
        <w:pStyle w:val="newncpi"/>
      </w:pPr>
      <w:r>
        <w:t>услуга по передаче телеграмм – услуга электросвязи по приему, передаче и доставке адресатам телеграмм;</w:t>
      </w:r>
    </w:p>
    <w:p w:rsidR="007B4F32" w:rsidRDefault="007B4F32">
      <w:pPr>
        <w:pStyle w:val="newncpi"/>
      </w:pPr>
      <w:r>
        <w:t>услуга телефонной связи – услуга электросвязи по приему, обработке, хранению и передаче голосовых сообщений электросвязи при установлении телефонного соединения;</w:t>
      </w:r>
    </w:p>
    <w:p w:rsidR="007B4F32" w:rsidRDefault="007B4F32">
      <w:pPr>
        <w:pStyle w:val="newncpi"/>
      </w:pPr>
      <w:r>
        <w:t>услуга сотовой подвижной электросвязи – услуга электросвязи, оказываемая абонентам оператором сотовой подвижной электросвязи посредством сети сотовой подвижной электросвязи;</w:t>
      </w:r>
    </w:p>
    <w:p w:rsidR="007B4F32" w:rsidRDefault="007B4F32">
      <w:pPr>
        <w:pStyle w:val="newncpi"/>
      </w:pPr>
      <w:r>
        <w:t>услуга стационарной электросвязи – услуга электросвязи, оказываемая абонентам оператором электросвязи посредством сети стационарной электросвязи;</w:t>
      </w:r>
    </w:p>
    <w:p w:rsidR="007B4F32" w:rsidRDefault="007B4F32">
      <w:pPr>
        <w:pStyle w:val="newncpi"/>
      </w:pPr>
      <w:r>
        <w:t>услуга по трансляции телепрограмм – услуга электросвязи по доведению телепрограмм абонентам и (или) пользователям услуг электросвязи посредством сети наземного цифрового телевизионного вещания, систем кабельного телевидения, сетей передачи данных;</w:t>
      </w:r>
    </w:p>
    <w:p w:rsidR="007B4F32" w:rsidRDefault="007B4F32">
      <w:pPr>
        <w:pStyle w:val="newncpi"/>
      </w:pPr>
      <w:r>
        <w:t>СМС-сообщение – текстовое сообщение, состоящее из букв, и (или) символов, и (или) цифр, предназначенное для передачи по сети сотовой подвижной электросвязи.</w:t>
      </w:r>
    </w:p>
    <w:p w:rsidR="007B4F32" w:rsidRDefault="007B4F32">
      <w:pPr>
        <w:pStyle w:val="point"/>
      </w:pPr>
      <w:r>
        <w:t>4. Языками взаимоотношений операторов электросвязи, поставщиков услуг электросвязи с абонентами и пользователями услуг электросвязи являются белорусский и (или) русский языки.</w:t>
      </w:r>
    </w:p>
    <w:p w:rsidR="007B4F32" w:rsidRDefault="007B4F32">
      <w:pPr>
        <w:pStyle w:val="newncpi"/>
      </w:pPr>
      <w:r>
        <w:t>Взаимоотношения операторов электросвязи с операторами электросвязи других государств при оказании услуг электросвязи осуществляются на языке, определенном международными договорами Республики Беларусь.</w:t>
      </w:r>
    </w:p>
    <w:p w:rsidR="007B4F32" w:rsidRDefault="007B4F32">
      <w:pPr>
        <w:pStyle w:val="point"/>
      </w:pPr>
      <w:r>
        <w:lastRenderedPageBreak/>
        <w:t>5. Сведения об абоненте и (или) пользователе услуг электросвязи, ставшие известными оператору электросвязи, поставщику услуг электросвязи при исполнении ими договора, могут быть использованы оператором электросвязи, поставщиком услуг электросвязи для оказания справочных и иных информационных услуг или могут передаваться третьим лицам только с согласия абонента и (или) пользователя услуг электросвязи, за исключением случаев, предусмотренных законодательными актами.</w:t>
      </w:r>
    </w:p>
    <w:p w:rsidR="007B4F32" w:rsidRDefault="007B4F32">
      <w:pPr>
        <w:pStyle w:val="point"/>
      </w:pPr>
      <w:r>
        <w:t>6. Оператор электросвязи, поставщик услуг электросвязи обеспечивают абоненту и (или) пользователю услуг электросвязи возможность круглосуточного пользования услугами электросвязи, если иное не предусмотрено законодательством или договором.</w:t>
      </w:r>
    </w:p>
    <w:p w:rsidR="007B4F32" w:rsidRDefault="007B4F32">
      <w:pPr>
        <w:pStyle w:val="point"/>
      </w:pPr>
      <w:r>
        <w:t>7. Оконечные абонентские устройства (терминалы) приобретаются абонентами за свой счет. Они могут также принадлежать оператору электросвязи, поставщику услуг электросвязи и предоставляться абоненту на период оказания услуг электросвязи либо иной период, предусмотренный в договоре. Условия предоставления оконечных абонентских устройств (терминалов), включая порядок их передачи, пользования и возврата, определяются договором.</w:t>
      </w:r>
    </w:p>
    <w:p w:rsidR="007B4F32" w:rsidRDefault="007B4F32">
      <w:pPr>
        <w:pStyle w:val="newncpi"/>
      </w:pPr>
      <w:r>
        <w:t>Оконечные абонентские устройства (терминалы), применяемые в сетях электросвязи, должны иметь документ об оценке соответствия, выданный в Национальной системе подтверждения соответствия Республики Беларусь.</w:t>
      </w:r>
    </w:p>
    <w:p w:rsidR="007B4F32" w:rsidRDefault="007B4F32">
      <w:pPr>
        <w:pStyle w:val="point"/>
      </w:pPr>
      <w:r>
        <w:t>8. Для установления местного, междугородного, международного телефонного соединения, вызова экстренных служб пользователь услуг электросвязи осуществляет набор цифр на вызывающем оконечном абонентском устройстве (терминале) в определенной последовательности для однозначного определения (идентификации) вызываемого оконечного абонентского устройства (терминала).</w:t>
      </w:r>
    </w:p>
    <w:p w:rsidR="007B4F32" w:rsidRDefault="007B4F32">
      <w:pPr>
        <w:pStyle w:val="chapter"/>
      </w:pPr>
      <w:r>
        <w:t>ГЛАВА 2</w:t>
      </w:r>
      <w:r>
        <w:br/>
        <w:t>ПОРЯДОК ЗАКЛЮЧЕНИЯ И ВЫПОЛНЕНИЯ ДОГОВОРА</w:t>
      </w:r>
    </w:p>
    <w:p w:rsidR="007B4F32" w:rsidRDefault="007B4F32">
      <w:pPr>
        <w:pStyle w:val="point"/>
      </w:pPr>
      <w:r>
        <w:t>9. Услуги электросвязи оказываются на основании договора, заключенного между оператором электросвязи или поставщиком услуг электросвязи и абонентом.</w:t>
      </w:r>
    </w:p>
    <w:p w:rsidR="007B4F32" w:rsidRDefault="007B4F32">
      <w:pPr>
        <w:pStyle w:val="newncpi"/>
      </w:pPr>
      <w:r>
        <w:t>Договор является публичным и заключается при наличии технической возможности у оператора электросвязи, поставщика услуг электросвязи для оказания услуг электросвязи. Оказание услуг электросвязи осуществляется с обеспечением одинаковых условий обслуживания и оплаты для всех абонентов, за исключением абонентов, для которых при пользовании услугами электросвязи законодательством установлены льготы и преимущества в очередности оказания услуг электросвязи, порядке и размере их оплаты.</w:t>
      </w:r>
    </w:p>
    <w:p w:rsidR="007B4F32" w:rsidRDefault="007B4F32">
      <w:pPr>
        <w:pStyle w:val="newncpi"/>
      </w:pPr>
      <w:r>
        <w:t>Перечень услуг электросвязи, оказываемых оператором электросвязи, поставщиком услуг электросвязи, определяется ими с учетом условий лицензии, технических возможностей сетей и средств электросвязи, потребностей абонентов и (или) пользователей услуг электросвязи.</w:t>
      </w:r>
    </w:p>
    <w:p w:rsidR="007B4F32" w:rsidRDefault="007B4F32">
      <w:pPr>
        <w:pStyle w:val="newncpi"/>
      </w:pPr>
      <w:r>
        <w:t>Оператор электросвязи, поставщик услуг электросвязи не вправе отказать абоненту в заключении договора при наличии у него технической возможности для оказания услуг электросвязи, за исключением случаев, когда абонент имеет задолженность по ранее заключенным договорам и (или) не возвратил в установленный законодательством или договором срок оконечные абонентские устройства (терминалы), принадлежащие оператору электросвязи, поставщику услуг электросвязи и предоставленные ими абоненту.</w:t>
      </w:r>
    </w:p>
    <w:p w:rsidR="007B4F32" w:rsidRDefault="007B4F32">
      <w:pPr>
        <w:pStyle w:val="newncpi"/>
      </w:pPr>
      <w:r>
        <w:t>Оператор электросвязи, поставщик услуг электросвязи не вправе обусловливать оказание одних услуг электросвязи обязательным оказанием других услуг электросвязи, за исключением случаев, когда оказание одной услуги электросвязи технически невозможно без оказания другой услуги электросвязи.</w:t>
      </w:r>
    </w:p>
    <w:p w:rsidR="007B4F32" w:rsidRDefault="007B4F32">
      <w:pPr>
        <w:pStyle w:val="newncpi"/>
      </w:pPr>
      <w:r>
        <w:t xml:space="preserve">Оказание иных услуг электросвязи, кроме предусмотренных договором, может осуществляться после совершения абонентом действий, предусмотренных пунктом 3 </w:t>
      </w:r>
      <w:r>
        <w:lastRenderedPageBreak/>
        <w:t>статьи 408 Гражданского кодекса Республики Беларусь. При этом согласие абонента на оказание (прекращение оказания) оператором электросвязи, поставщиком услуг электросвязи абоненту информационных услуг справочного и (или) развлекательного характера выражается одним из следующих способов:</w:t>
      </w:r>
    </w:p>
    <w:p w:rsidR="007B4F32" w:rsidRDefault="007B4F32">
      <w:pPr>
        <w:pStyle w:val="newncpi"/>
      </w:pPr>
      <w:r>
        <w:t>проставление отметки в личном кабинете абонента на официальном сайте оператора электросвязи, поставщика услуг электросвязи в сети Интернет (мобильном приложении);</w:t>
      </w:r>
    </w:p>
    <w:p w:rsidR="007B4F32" w:rsidRDefault="007B4F32">
      <w:pPr>
        <w:pStyle w:val="newncpi"/>
      </w:pPr>
      <w:r>
        <w:t>направление USSD-запроса или СМС-сообщения;</w:t>
      </w:r>
    </w:p>
    <w:p w:rsidR="007B4F32" w:rsidRDefault="007B4F32">
      <w:pPr>
        <w:pStyle w:val="newncpi"/>
      </w:pPr>
      <w:r>
        <w:t>подача заявления в сервисном центре оператора, поставщика услуг электросвязи;</w:t>
      </w:r>
    </w:p>
    <w:p w:rsidR="007B4F32" w:rsidRDefault="007B4F32">
      <w:pPr>
        <w:pStyle w:val="newncpi"/>
      </w:pPr>
      <w:r>
        <w:t>способ, указанный в части третьей пункта 11 настоящих Правил.</w:t>
      </w:r>
    </w:p>
    <w:p w:rsidR="007B4F32" w:rsidRDefault="007B4F32">
      <w:pPr>
        <w:pStyle w:val="point"/>
      </w:pPr>
      <w:r>
        <w:t>10. Договор заключается на неопределенный срок. По соглашению сторон может быть заключен срочный договор.</w:t>
      </w:r>
    </w:p>
    <w:p w:rsidR="007B4F32" w:rsidRDefault="007B4F32">
      <w:pPr>
        <w:pStyle w:val="point"/>
      </w:pPr>
      <w:r>
        <w:t>11. Договор заключается (изменяется, дополняется) в письменной форме в двух экземплярах, один из которых вручается (предоставляется, направляется) абоненту. Договор заключается оператором электросвязи, поставщиком услуг электросвязи при личном присутствии другой стороны, ее уполномоченного представителя. При условии соблюдения оператором электросвязи, поставщиком услуг электросвязи требований к удаленной идентификации, а также к активации услуг электросвязи, определяемых Министерством связи и информатизации по согласованию с Оперативно-аналитическим центром при Президенте Республики Беларусь, допускается заключение договора без личного присутствия другой стороны, ее уполномоченного представителя.</w:t>
      </w:r>
    </w:p>
    <w:p w:rsidR="007B4F32" w:rsidRDefault="007B4F32">
      <w:pPr>
        <w:pStyle w:val="newncpi"/>
      </w:pPr>
      <w:r>
        <w:t>В случае заключения договора на бумажном носителе такой договор подписывается сторонами, их уполномоченными представителями собственноручно.</w:t>
      </w:r>
    </w:p>
    <w:p w:rsidR="007B4F32" w:rsidRDefault="007B4F32">
      <w:pPr>
        <w:pStyle w:val="newncpi"/>
      </w:pPr>
      <w:r>
        <w:t>В случае заключения договора в виде электронного документа такой договор должен быть подписан сторонами, их уполномоченными представителями с применением электронной цифровой подписи, выработанной с использованием личного ключа, сертификат открытого ключа которого издан в Государственной системе управления открытыми ключами проверки электронной цифровой подписи Республики Беларусь. При этом, если абонентом выступает нерезидент Республики Беларусь, допускается применение им электронной цифровой подписи, выработанной с использованием личного ключа, иностранный сертификат открытого ключа которого признан на территории Республики Беларусь в соответствии с законодательством об электронных документах и электронной цифровой подписи.</w:t>
      </w:r>
    </w:p>
    <w:p w:rsidR="007B4F32" w:rsidRDefault="007B4F32">
      <w:pPr>
        <w:pStyle w:val="newncpi"/>
      </w:pPr>
      <w:r>
        <w:t>Поставщик услуг ОТТ-сервиса заключает договор одним из способов, предусмотренных частью первой пункта 2, пунктом 3 статьи 404 Гражданского кодекса Республики Беларусь.</w:t>
      </w:r>
    </w:p>
    <w:p w:rsidR="007B4F32" w:rsidRDefault="007B4F32">
      <w:pPr>
        <w:pStyle w:val="newncpi"/>
      </w:pPr>
      <w:r>
        <w:t>Согласие абонента с изменением (дополнением) договора может быть выражено в соответствии с пунктом 3 статьи 408 Гражданского кодекса Республики Беларусь, за исключением случаев, когда такие изменения (дополнения) касаются сведений об абоненте.</w:t>
      </w:r>
    </w:p>
    <w:p w:rsidR="007B4F32" w:rsidRDefault="007B4F32">
      <w:pPr>
        <w:pStyle w:val="point"/>
      </w:pPr>
      <w:r>
        <w:t>12. При внесении оператором электросвязи, поставщиком услуг электросвязи изменений в договор оператор электросвязи, поставщик услуг электросвязи уведомляют абонента путем размещения соответствующей информации на официальном сайте этого оператора электросвязи, поставщика услуг электросвязи в сети Интернет, а также путем направления СМС-сообщения (при наличии согласия абонента и предоставлении номера абонента сети сотовой подвижной электросвязи), содержащего текст изменений в договор и (или) тарифы либо источник информации о них, не позднее чем за 10 дней до внесения изменений.</w:t>
      </w:r>
    </w:p>
    <w:p w:rsidR="007B4F32" w:rsidRDefault="007B4F32">
      <w:pPr>
        <w:pStyle w:val="newncpi"/>
      </w:pPr>
      <w:r>
        <w:t>По иным вопросам исполнения договора оператор электросвязи, поставщик услуг электросвязи могут информировать абонента одним или несколькими способами:</w:t>
      </w:r>
    </w:p>
    <w:p w:rsidR="007B4F32" w:rsidRDefault="007B4F32">
      <w:pPr>
        <w:pStyle w:val="newncpi"/>
      </w:pPr>
      <w:r>
        <w:t>в средствах массовой информации;</w:t>
      </w:r>
    </w:p>
    <w:p w:rsidR="007B4F32" w:rsidRDefault="007B4F32">
      <w:pPr>
        <w:pStyle w:val="newncpi"/>
      </w:pPr>
      <w:r>
        <w:t>на официальном сайте оператора электросвязи, поставщика услуг электросвязи в сети Интернет;</w:t>
      </w:r>
    </w:p>
    <w:p w:rsidR="007B4F32" w:rsidRDefault="007B4F32">
      <w:pPr>
        <w:pStyle w:val="newncpi"/>
      </w:pPr>
      <w:r>
        <w:lastRenderedPageBreak/>
        <w:t>в личном кабинете на официальном сайте оператора электросвязи, поставщика услуг электросвязи в сети Интернет (мобильном приложении);</w:t>
      </w:r>
    </w:p>
    <w:p w:rsidR="007B4F32" w:rsidRDefault="007B4F32">
      <w:pPr>
        <w:pStyle w:val="newncpi"/>
      </w:pPr>
      <w:r>
        <w:t>сообщением посредством электронной почты;</w:t>
      </w:r>
    </w:p>
    <w:p w:rsidR="007B4F32" w:rsidRDefault="007B4F32">
      <w:pPr>
        <w:pStyle w:val="newncpi"/>
      </w:pPr>
      <w:r>
        <w:t>СМС-сообщение;</w:t>
      </w:r>
    </w:p>
    <w:p w:rsidR="007B4F32" w:rsidRDefault="007B4F32">
      <w:pPr>
        <w:pStyle w:val="newncpi"/>
      </w:pPr>
      <w:r>
        <w:t>сообщением сервиса мгновенного обмена сообщениями (мессенджера);</w:t>
      </w:r>
    </w:p>
    <w:p w:rsidR="007B4F32" w:rsidRDefault="007B4F32">
      <w:pPr>
        <w:pStyle w:val="newncpi"/>
      </w:pPr>
      <w:r>
        <w:t>через личный электронный кабинет, функционирующий на базе единого портала электронных услуг общегосударственной автоматизированной информационной системы, и (или) посредством иных межведомственных информационных систем;</w:t>
      </w:r>
    </w:p>
    <w:p w:rsidR="007B4F32" w:rsidRDefault="007B4F32">
      <w:pPr>
        <w:pStyle w:val="newncpi"/>
      </w:pPr>
      <w:r>
        <w:t>заказным письмом, в том числе посредством Национальной почтовой электронной системы.</w:t>
      </w:r>
    </w:p>
    <w:p w:rsidR="007B4F32" w:rsidRDefault="007B4F32">
      <w:pPr>
        <w:pStyle w:val="point"/>
      </w:pPr>
      <w:r>
        <w:t>13. Оператор электросвязи, поставщик услуг электросвязи могут поручить третьему лицу заключать договор от своего имени (только на территории Республики Беларусь), осуществлять расчеты с абонентом и иные действия по обслуживанию абонентов. Права и обязанности по договору, заключенному третьим лицом от имени оператора электросвязи или поставщика услуг электросвязи, возникают у оператора электросвязи или поставщика услуг электросвязи.</w:t>
      </w:r>
    </w:p>
    <w:p w:rsidR="007B4F32" w:rsidRDefault="007B4F32">
      <w:pPr>
        <w:pStyle w:val="point"/>
      </w:pPr>
      <w:r>
        <w:t>14. Лицо, уполномоченное на заключение договора от имени юридического лица, представляет оператору электросвязи, поставщику услуг электросвязи:</w:t>
      </w:r>
    </w:p>
    <w:p w:rsidR="007B4F32" w:rsidRDefault="007B4F32">
      <w:pPr>
        <w:pStyle w:val="newncpi"/>
      </w:pPr>
      <w:r>
        <w:t>документ, подтверждающий полномочия;</w:t>
      </w:r>
    </w:p>
    <w:p w:rsidR="007B4F32" w:rsidRDefault="007B4F32">
      <w:pPr>
        <w:pStyle w:val="newncpi"/>
      </w:pPr>
      <w:r>
        <w:t>документ, удостоверяющий личность;</w:t>
      </w:r>
    </w:p>
    <w:p w:rsidR="007B4F32" w:rsidRDefault="007B4F32">
      <w:pPr>
        <w:pStyle w:val="newncpi"/>
      </w:pPr>
      <w:r>
        <w:t>документы, подтверждающие право пользования помещением, в котором требуется установить оконечное абонентское устройство (терминал) для оказания услуги электросвязи.</w:t>
      </w:r>
    </w:p>
    <w:p w:rsidR="007B4F32" w:rsidRDefault="007B4F32">
      <w:pPr>
        <w:pStyle w:val="point"/>
      </w:pPr>
      <w:r>
        <w:t>15. Физическое лицо при заключении договора представляет оператору электросвязи, поставщику услуг электросвязи документ, удостоверяющий его личность, и при наличии льгот – документ, подтверждающий право на льготы, установленные актами законодательства, документы, подтверждающие право пользования помещением, в котором требуется установить оконечное абонентское устройство (терминал) для оказания услуги электросвязи.</w:t>
      </w:r>
    </w:p>
    <w:p w:rsidR="007B4F32" w:rsidRDefault="007B4F32">
      <w:pPr>
        <w:pStyle w:val="newncpi"/>
      </w:pPr>
      <w:r>
        <w:t>Представитель физического лица при заключении договора представляет оператору электросвязи, поставщику услуг электросвязи документ, подтверждающий полномочия, документ, удостоверяющий личность, и иные документы, указанные в части первой настоящего пункта.</w:t>
      </w:r>
    </w:p>
    <w:p w:rsidR="007B4F32" w:rsidRDefault="007B4F32">
      <w:pPr>
        <w:pStyle w:val="point"/>
      </w:pPr>
      <w:r>
        <w:t>16. Индивидуальный предприниматель при заключении договора в целях, связанных с осуществлением предпринимательской деятельности, представляет копию свидетельства о его государственной регистрации в качестве индивидуального предпринимателя, документ, удостоверяющий личность, и документы, подтверждающие право пользования помещением, в котором требуется установить оконечное абонентское устройство (терминал) для оказания услуг электросвязи.</w:t>
      </w:r>
    </w:p>
    <w:p w:rsidR="007B4F32" w:rsidRDefault="007B4F32">
      <w:pPr>
        <w:pStyle w:val="point"/>
      </w:pPr>
      <w:r>
        <w:t>17. При заключении договора оператор электросвязи, поставщик услуг электросвязи обязаны предоставить абоненту следующую информацию:</w:t>
      </w:r>
    </w:p>
    <w:p w:rsidR="007B4F32" w:rsidRDefault="007B4F32">
      <w:pPr>
        <w:pStyle w:val="newncpi"/>
      </w:pPr>
      <w:r>
        <w:t>полное наименование оператора электросвязи, поставщика услуг электросвязи, перечень его филиалов (при наличии), места их нахождения и режим работы;</w:t>
      </w:r>
    </w:p>
    <w:p w:rsidR="007B4F32" w:rsidRDefault="007B4F32">
      <w:pPr>
        <w:pStyle w:val="newncpi"/>
      </w:pPr>
      <w:r>
        <w:t>сведения о лицензии на осуществление деятельности в области связи, выданном оператору электросвязи;</w:t>
      </w:r>
    </w:p>
    <w:p w:rsidR="007B4F32" w:rsidRDefault="007B4F32">
      <w:pPr>
        <w:pStyle w:val="newncpi"/>
      </w:pPr>
      <w:r>
        <w:t>перечень услуг электросвязи, порядок и условия их оказания;</w:t>
      </w:r>
    </w:p>
    <w:p w:rsidR="007B4F32" w:rsidRDefault="007B4F32">
      <w:pPr>
        <w:pStyle w:val="newncpi"/>
      </w:pPr>
      <w:r>
        <w:t>тарифы на оказываемые услуги электросвязи;</w:t>
      </w:r>
    </w:p>
    <w:p w:rsidR="007B4F32" w:rsidRDefault="007B4F32">
      <w:pPr>
        <w:pStyle w:val="newncpi"/>
      </w:pPr>
      <w:r>
        <w:t>порядок, формы и способы оплаты услуг электросвязи;</w:t>
      </w:r>
    </w:p>
    <w:p w:rsidR="007B4F32" w:rsidRDefault="007B4F32">
      <w:pPr>
        <w:pStyle w:val="newncpi"/>
      </w:pPr>
      <w:r>
        <w:t>абонентские номера справочно-информационной службы и службы технической поддержки;</w:t>
      </w:r>
    </w:p>
    <w:p w:rsidR="007B4F32" w:rsidRDefault="007B4F32">
      <w:pPr>
        <w:pStyle w:val="newncpi"/>
      </w:pPr>
      <w:r>
        <w:t>способы информирования абонента об изменении договора, изменении тарифов и исполнении договора.</w:t>
      </w:r>
    </w:p>
    <w:p w:rsidR="007B4F32" w:rsidRDefault="007B4F32">
      <w:pPr>
        <w:pStyle w:val="point"/>
      </w:pPr>
      <w:r>
        <w:lastRenderedPageBreak/>
        <w:t>18. В договоре указываются:</w:t>
      </w:r>
    </w:p>
    <w:p w:rsidR="007B4F32" w:rsidRDefault="007B4F32">
      <w:pPr>
        <w:pStyle w:val="newncpi"/>
      </w:pPr>
      <w:r>
        <w:t>дата и место заключения договора;</w:t>
      </w:r>
    </w:p>
    <w:p w:rsidR="007B4F32" w:rsidRDefault="007B4F32">
      <w:pPr>
        <w:pStyle w:val="newncpi"/>
      </w:pPr>
      <w:r>
        <w:t>полное наименование оператора электросвязи, поставщика услуг электросвязи;</w:t>
      </w:r>
    </w:p>
    <w:p w:rsidR="007B4F32" w:rsidRDefault="007B4F32">
      <w:pPr>
        <w:pStyle w:val="newncpi"/>
      </w:pPr>
      <w:r>
        <w:t>текущий (расчетный) банковский счет оператора электросвязи, поставщика услуг электросвязи;</w:t>
      </w:r>
    </w:p>
    <w:p w:rsidR="007B4F32" w:rsidRDefault="007B4F32">
      <w:pPr>
        <w:pStyle w:val="newncpi"/>
      </w:pPr>
      <w:r>
        <w:t>номер и дата выданного оператору электросвязи лицензии;</w:t>
      </w:r>
    </w:p>
    <w:p w:rsidR="007B4F32" w:rsidRDefault="007B4F32">
      <w:pPr>
        <w:pStyle w:val="newncpi"/>
      </w:pPr>
      <w:r>
        <w:t>сведения об абоненте (фамилия, собственное имя, отчество (если таковое имеется), место жительства, данные документа, удостоверяющего личность, – для физического лица и индивидуального предпринимателя, текущий (расчетный) банковский счет индивидуального предпринимателя (при наличии), полное наименование, место нахождения, текущий (расчетный) банковский счет – для юридического лица);</w:t>
      </w:r>
    </w:p>
    <w:p w:rsidR="007B4F32" w:rsidRDefault="007B4F32">
      <w:pPr>
        <w:pStyle w:val="newncpi"/>
      </w:pPr>
      <w:r>
        <w:t>абонентский номер (если его присвоение технологически необходимо и возможно на момент заключения договора);</w:t>
      </w:r>
    </w:p>
    <w:p w:rsidR="007B4F32" w:rsidRDefault="007B4F32">
      <w:pPr>
        <w:pStyle w:val="newncpi"/>
      </w:pPr>
      <w:r>
        <w:t>номер карты доступа (в случае ее выдачи);</w:t>
      </w:r>
    </w:p>
    <w:p w:rsidR="007B4F32" w:rsidRDefault="007B4F32">
      <w:pPr>
        <w:pStyle w:val="newncpi"/>
      </w:pPr>
      <w:r>
        <w:t>способ доставки счета на оплату;</w:t>
      </w:r>
    </w:p>
    <w:p w:rsidR="007B4F32" w:rsidRDefault="007B4F32">
      <w:pPr>
        <w:pStyle w:val="newncpi"/>
      </w:pPr>
      <w:r>
        <w:t>права, обязанности и ответственность сторон;</w:t>
      </w:r>
    </w:p>
    <w:p w:rsidR="007B4F32" w:rsidRDefault="007B4F32">
      <w:pPr>
        <w:pStyle w:val="newncpi"/>
      </w:pPr>
      <w:r>
        <w:t>перечень услуг электросвязи, оказываемых абоненту на момент заключения договора;</w:t>
      </w:r>
    </w:p>
    <w:p w:rsidR="007B4F32" w:rsidRDefault="007B4F32">
      <w:pPr>
        <w:pStyle w:val="newncpi"/>
      </w:pPr>
      <w:r>
        <w:t>дата начала оказания услуг электросвязи (если она не совпадает с датой заключения договора);</w:t>
      </w:r>
    </w:p>
    <w:p w:rsidR="007B4F32" w:rsidRDefault="007B4F32">
      <w:pPr>
        <w:pStyle w:val="newncpi"/>
      </w:pPr>
      <w:r>
        <w:t>порядок, сроки и форма оплаты услуг электросвязи;</w:t>
      </w:r>
    </w:p>
    <w:p w:rsidR="007B4F32" w:rsidRDefault="007B4F32">
      <w:pPr>
        <w:pStyle w:val="newncpi"/>
      </w:pPr>
      <w:r>
        <w:t>порядок и условия предоставления оконечных абонентских устройств (терминалов);</w:t>
      </w:r>
    </w:p>
    <w:p w:rsidR="007B4F32" w:rsidRDefault="007B4F32">
      <w:pPr>
        <w:pStyle w:val="newncpi"/>
      </w:pPr>
      <w:r>
        <w:t>контактная информация справочно-информационной службы и службы технической поддержки;</w:t>
      </w:r>
    </w:p>
    <w:p w:rsidR="007B4F32" w:rsidRDefault="007B4F32">
      <w:pPr>
        <w:pStyle w:val="newncpi"/>
      </w:pPr>
      <w:r>
        <w:t>порядок и условия изменения и расторжения договора;</w:t>
      </w:r>
    </w:p>
    <w:p w:rsidR="007B4F32" w:rsidRDefault="007B4F32">
      <w:pPr>
        <w:pStyle w:val="newncpi"/>
      </w:pPr>
      <w:r>
        <w:t>параметры (показатели) качества услуг электросвязи, работы сети электросвязи и обслуживания абонентов (далее – показатели качества) согласно приложению, установленные в зависимости от используемой для оказания услуг электросвязи технологии;</w:t>
      </w:r>
    </w:p>
    <w:p w:rsidR="007B4F32" w:rsidRDefault="007B4F32">
      <w:pPr>
        <w:pStyle w:val="newncpi"/>
      </w:pPr>
      <w:r>
        <w:t>необходимые технические условия оказания услуг электросвязи.</w:t>
      </w:r>
    </w:p>
    <w:p w:rsidR="007B4F32" w:rsidRDefault="007B4F32">
      <w:pPr>
        <w:pStyle w:val="newncpi"/>
      </w:pPr>
      <w:r>
        <w:t>В договоре об оказании услуг электросвязи с использованием стационарной сети электросвязи также указываются:</w:t>
      </w:r>
    </w:p>
    <w:p w:rsidR="007B4F32" w:rsidRDefault="007B4F32">
      <w:pPr>
        <w:pStyle w:val="newncpi"/>
      </w:pPr>
      <w:r>
        <w:t>адрес установки оконечного абонентского устройства (терминала) сети стационарной электросвязи;</w:t>
      </w:r>
    </w:p>
    <w:p w:rsidR="007B4F32" w:rsidRDefault="007B4F32">
      <w:pPr>
        <w:pStyle w:val="newncpi"/>
      </w:pPr>
      <w:r>
        <w:t>согласие (отказ) абонента на использование сведений о нем, содержащихся в базе данных об абонентах для осуществления справочно-информационных услуг.</w:t>
      </w:r>
    </w:p>
    <w:p w:rsidR="007B4F32" w:rsidRDefault="007B4F32">
      <w:pPr>
        <w:pStyle w:val="newncpi"/>
      </w:pPr>
      <w:r>
        <w:t>Договор об оказании услуг электросвязи по трансляции телепрограмм в системе кабельного телевидения должен вступать в силу не ранее даты оказания оператором электросвязи, поставщиком электросвязи абоненту услуги по подключению к системе кабельного телевидения оператора электросвязи, поставщика услуг электросвязи.</w:t>
      </w:r>
    </w:p>
    <w:p w:rsidR="007B4F32" w:rsidRDefault="007B4F32">
      <w:pPr>
        <w:pStyle w:val="point"/>
      </w:pPr>
      <w:r>
        <w:t>19. Оператор электросвязи имеет право по своей инициативе заменить выделенный абоненту абонентский номер, если продолжение оказания услуг электросвязи с использованием выделенного ранее номера невозможно по технической причине. В таком случае оператор электросвязи не позднее чем за 30 календарных дней до предстоящей замены обязан уведомить абонента с указанием причины и даты замены абонентского номера.</w:t>
      </w:r>
    </w:p>
    <w:p w:rsidR="007B4F32" w:rsidRDefault="007B4F32">
      <w:pPr>
        <w:pStyle w:val="newncpi"/>
      </w:pPr>
      <w:r>
        <w:t>Замена абонентского номера по инициативе оператора электросвязи производится без оплаты, а по инициативе абонента – за плату, размер которой устанавливается оператором электросвязи.</w:t>
      </w:r>
    </w:p>
    <w:p w:rsidR="007B4F32" w:rsidRDefault="007B4F32">
      <w:pPr>
        <w:pStyle w:val="newncpi"/>
      </w:pPr>
      <w:r>
        <w:t xml:space="preserve">Использование абонентского номера и (или) карты доступа, оконечного абонентского устройства (терминала) оператора электросвязи, поставщика услуг электросвязи, реквизитов доступа на пользование услугой электросвязи третьими лицами, </w:t>
      </w:r>
      <w:r>
        <w:lastRenderedPageBreak/>
        <w:t>в том числе в результате утраты или повреждения оконечного оборудования и (или) оконечного абонентского устройства (терминала), не освобождает абонента от обязанности исполнения договора, в том числе и от оплаты услуг электросвязи, оказанных по данному абонентскому номеру и (или) карте доступа, до получения оператором электросвязи или поставщиком услуг электросвязи письменного заявления абонента.</w:t>
      </w:r>
    </w:p>
    <w:p w:rsidR="007B4F32" w:rsidRDefault="007B4F32">
      <w:pPr>
        <w:pStyle w:val="point"/>
      </w:pPr>
      <w:r>
        <w:t>20. При наследовании квартиры (одноквартирного жилого дома, помещения), в которой установлено оконечное абонентское устройство (терминал), по письменному заявлению наследника об оплате услуг электросвязи, оказанных по договору, предоставление таких услуг сохраняется на срок оформления документов о наследовании, но не более чем на девять месяцев с даты открытия наследства.</w:t>
      </w:r>
    </w:p>
    <w:p w:rsidR="007B4F32" w:rsidRDefault="007B4F32">
      <w:pPr>
        <w:pStyle w:val="newncpi"/>
      </w:pPr>
      <w:r>
        <w:t>При приобретении квартиры (одноквартирного жилого дома, помещения), в которой установлено оконечное абонентское устройство (терминал), по договору дарения, купли-продажи, мены, ренты или пожизненного содержания с иждивением по письменному заявлению приобретателя об оплате услуг электросвязи, оказанных по договору, заключенному с прежним владельцем, предоставление таких услуг сохраняется на срок не более трех месяцев с даты оформления договора дарения, купли-продажи, мены, ренты или пожизненного содержания с иждивением.</w:t>
      </w:r>
    </w:p>
    <w:p w:rsidR="007B4F32" w:rsidRDefault="007B4F32">
      <w:pPr>
        <w:pStyle w:val="chapter"/>
      </w:pPr>
      <w:r>
        <w:t>ГЛАВА 3</w:t>
      </w:r>
      <w:r>
        <w:br/>
        <w:t>ПОРЯДОК И ОСНОВАНИЯ ПРИОСТАНОВЛЕНИЯ ОКАЗАНИЯ УСЛУГ ЭЛЕКТРОСВЯЗИ, РАСТОРЖЕНИЯ ДОГОВОРА</w:t>
      </w:r>
    </w:p>
    <w:p w:rsidR="007B4F32" w:rsidRDefault="007B4F32">
      <w:pPr>
        <w:pStyle w:val="point"/>
      </w:pPr>
      <w:r>
        <w:t>21. Оператор электросвязи, поставщик услуг электросвязи имеют право приостановить оказание услуг электросвязи в случае нарушения абонентом условий договора, требований настоящих Правил и иных актов законодательства, направив при этом абоненту мотивированное уведомление с указанием даты приостановления оказания услуг электросвязи и сроков, необходимых для устранения этого нарушения.</w:t>
      </w:r>
    </w:p>
    <w:p w:rsidR="007B4F32" w:rsidRDefault="007B4F32">
      <w:pPr>
        <w:pStyle w:val="newncpi"/>
      </w:pPr>
      <w:r>
        <w:t>В случае неустранения абонентом в указанные сроки нарушения, послужившего основанием для приостановления оказания услуг электросвязи, оператор электросвязи, поставщик услуг электросвязи имеют право расторгнуть договор в одностороннем порядке, направив при этом абоненту мотивированное уведомление с указанием даты расторжения договора.</w:t>
      </w:r>
    </w:p>
    <w:p w:rsidR="007B4F32" w:rsidRDefault="007B4F32">
      <w:pPr>
        <w:pStyle w:val="newncpi"/>
      </w:pPr>
      <w:r>
        <w:t>При этом оператор электросвязи вправе приостановить предоставление абоненту бесплатного круглосуточного вызова экстренных служб только в случае, если технико-технологические особенности средств электросвязи этого оператора электросвязи не позволяют сохранить такую возможность одновременно с приостановлением оказания абоненту услуг телефонной связи.</w:t>
      </w:r>
    </w:p>
    <w:p w:rsidR="007B4F32" w:rsidRDefault="007B4F32">
      <w:pPr>
        <w:pStyle w:val="point"/>
      </w:pPr>
      <w:r>
        <w:t>22. При неоплате абонентом одной из услуг электросвязи оператор электросвязи, поставщик услуги электросвязи вправе при наличии технической возможности приостановить оказание только данной услуги, а также иных услуг, оказание которых невозможно при отсутствии доступа к услуге (или услугам) электросвязи, оказание которой приостановлено.</w:t>
      </w:r>
    </w:p>
    <w:p w:rsidR="007B4F32" w:rsidRDefault="007B4F32">
      <w:pPr>
        <w:pStyle w:val="newncpi"/>
      </w:pPr>
      <w:r>
        <w:t>При авансовой системе счетов оператор электросвязи, поставщик услуг электросвязи имеют право ограничить или приостановить оказание услуг электросвязи при отсутствии на лицевом счете абонента положительного остатка денежных средств. Возобновление оказания услуг электросвязи производится после поступления на лицевой счет абонента и (или) текущий (расчетный) банковский счет оператора электросвязи, поставщика услуг электросвязи очередного авансового платежа, образующего положительный остаток на лицевом счете абонента.</w:t>
      </w:r>
    </w:p>
    <w:p w:rsidR="007B4F32" w:rsidRDefault="007B4F32">
      <w:pPr>
        <w:pStyle w:val="newncpi"/>
      </w:pPr>
      <w:r>
        <w:t xml:space="preserve">При оплате услуг электросвязи в виде отложенного платежа оператор электросвязи, поставщик услуг электросвязи имеют право ограничить или приостановить оказание услуг электросвязи при исчерпании абонентом объема оказываемых услуг электросвязи. </w:t>
      </w:r>
      <w:r>
        <w:lastRenderedPageBreak/>
        <w:t>Возобновление оказания услуг электросвязи производится после поступления на лицевой счет абонента и (или) текущий (расчетный) банковский счет оператора электросвязи, поставщика услуг электросвязи очередного платежа, образующего положительный остаток на лицевом счете абонента или погашающего задолженность.</w:t>
      </w:r>
    </w:p>
    <w:p w:rsidR="007B4F32" w:rsidRDefault="007B4F32">
      <w:pPr>
        <w:pStyle w:val="newncpi"/>
      </w:pPr>
      <w:r>
        <w:t>Если в течение 60 календарных дней со дня приостановления оказания услуг электросвязи оплата, указанная в части третьей настоящего пункта, не поступила, оператор электросвязи имеет право прекратить оказание услуг электросвязи и расторгнуть договор в одностороннем порядке.</w:t>
      </w:r>
    </w:p>
    <w:p w:rsidR="007B4F32" w:rsidRDefault="007B4F32">
      <w:pPr>
        <w:pStyle w:val="point"/>
      </w:pPr>
      <w:r>
        <w:t>23. Оператор электросвязи, поставщик услуг электросвязи вправе приостановить оказание услуг электросвязи абоненту – юридическому лицу или индивидуальному предпринимателю при наличии у оператора электросвязи, поставщика услуг электросвязи информации о нахождении такого юридического лица или индивидуального предпринимателя в процессе ликвидации (прекращении деятельности) или возбуждении в отношении него производства по делу об экономической несостоятельности (банкротстве) и открытии конкурсного производства, направив при этом мотивированное уведомление.</w:t>
      </w:r>
    </w:p>
    <w:p w:rsidR="007B4F32" w:rsidRDefault="007B4F32">
      <w:pPr>
        <w:pStyle w:val="point"/>
      </w:pPr>
      <w:r>
        <w:t>24. Оказание услуг электросвязи может быть приостановлено по иным основаниям и в ином порядке в случаях, установленных актами законодательства.</w:t>
      </w:r>
    </w:p>
    <w:p w:rsidR="007B4F32" w:rsidRDefault="007B4F32">
      <w:pPr>
        <w:pStyle w:val="point"/>
      </w:pPr>
      <w:r>
        <w:t>25. Абонент вправе в любое время в одностороннем порядке путем подачи заявления расторгнуть договор при условии оплаты оказанных услуг электросвязи и исполнения иных условий договора.</w:t>
      </w:r>
    </w:p>
    <w:p w:rsidR="007B4F32" w:rsidRDefault="007B4F32">
      <w:pPr>
        <w:pStyle w:val="newncpi"/>
      </w:pPr>
      <w:r>
        <w:t>В случае расторжения договора по заявлению абонента оператор электросвязи, поставщик услуг электросвязи возвращают абоненту:</w:t>
      </w:r>
    </w:p>
    <w:p w:rsidR="007B4F32" w:rsidRDefault="007B4F32">
      <w:pPr>
        <w:pStyle w:val="newncpi"/>
      </w:pPr>
      <w:r>
        <w:t>внесенную плату за установку оконечного абонентского устройства (терминала), если оператор электросвязи, поставщик услуг электросвязи к работе не приступили;</w:t>
      </w:r>
    </w:p>
    <w:p w:rsidR="007B4F32" w:rsidRDefault="007B4F32">
      <w:pPr>
        <w:pStyle w:val="newncpi"/>
      </w:pPr>
      <w:r>
        <w:t>остаток денежных средств на лицевом счете абонента после завершения расчетов с ним за оказанные услуги электросвязи, включая услуги, оказанные в виде отложенного платежа, или по заявлению абонента переносят остаток денежных средств на лицевом счете абонента на другой действующий лицевой счет абонента.</w:t>
      </w:r>
    </w:p>
    <w:p w:rsidR="007B4F32" w:rsidRDefault="007B4F32">
      <w:pPr>
        <w:pStyle w:val="point"/>
      </w:pPr>
      <w:r>
        <w:t>26. В случае расторжения оператором электросвязи в одностороннем порядке договора с абонентом, на абонентскую линию электросвязи которого установлены технические средства и системы охраны, оператор электросвязи не позднее чем за 15 календарных дней до расторжения договора уведомляет абонента и соответствующее подразделение Департамента охраны Министерства внутренних дел путем направления заказного письма, в том числе посредством Национальной почтовой электронной системы. При расторжении договора по инициативе абонента абонент самостоятельно уведомляет соответствующее подразделение Департамента охраны Министерства внутренних дел.</w:t>
      </w:r>
    </w:p>
    <w:p w:rsidR="007B4F32" w:rsidRDefault="007B4F32">
      <w:pPr>
        <w:pStyle w:val="chapter"/>
      </w:pPr>
      <w:r>
        <w:t>ГЛАВА 4</w:t>
      </w:r>
      <w:r>
        <w:br/>
        <w:t>ПРАВА, ОБЯЗАННОСТИ И ОТВЕТСТВЕННОСТЬ ОПЕРАТОРА ЭЛЕКТРОСВЯЗИ И ПОСТАВЩИКА УСЛУГ ЭЛЕКТРОСВЯЗИ</w:t>
      </w:r>
    </w:p>
    <w:p w:rsidR="007B4F32" w:rsidRDefault="007B4F32">
      <w:pPr>
        <w:pStyle w:val="point"/>
      </w:pPr>
      <w:r>
        <w:t>27. Оператор электросвязи, поставщик услуг электросвязи имеют право:</w:t>
      </w:r>
    </w:p>
    <w:p w:rsidR="007B4F32" w:rsidRDefault="007B4F32">
      <w:pPr>
        <w:pStyle w:val="newncpi"/>
      </w:pPr>
      <w:r>
        <w:t>установить ограничение на количество абонентских номеров, которые могут быть выделены одному абоненту;</w:t>
      </w:r>
    </w:p>
    <w:p w:rsidR="007B4F32" w:rsidRDefault="007B4F32">
      <w:pPr>
        <w:pStyle w:val="newncpi"/>
      </w:pPr>
      <w:r>
        <w:t>определять перечень транслируемых телепрограмм помимо обязательного общедоступного пакета телепрограмм и осуществлять их кодирование;</w:t>
      </w:r>
    </w:p>
    <w:p w:rsidR="007B4F32" w:rsidRDefault="007B4F32">
      <w:pPr>
        <w:pStyle w:val="newncpi"/>
      </w:pPr>
      <w:r>
        <w:t>изменять перечень транслируемых телепрограмм с информированием абонента в порядке, установленном пунктом 12 настоящих Правил;</w:t>
      </w:r>
    </w:p>
    <w:p w:rsidR="007B4F32" w:rsidRDefault="007B4F32">
      <w:pPr>
        <w:pStyle w:val="newncpi"/>
      </w:pPr>
      <w:r>
        <w:t>запрашивать пояснения от абонента по вопросам нарушения порядка использования выделенного ему абонентского номера и (или) карты доступа;</w:t>
      </w:r>
    </w:p>
    <w:p w:rsidR="007B4F32" w:rsidRDefault="007B4F32">
      <w:pPr>
        <w:pStyle w:val="newncpi"/>
      </w:pPr>
      <w:r>
        <w:lastRenderedPageBreak/>
        <w:t>приостанавливать и прекращать оказание услуг электросвязи абонентам в случаях, предусмотренных актами законодательства;</w:t>
      </w:r>
    </w:p>
    <w:p w:rsidR="007B4F32" w:rsidRDefault="007B4F32">
      <w:pPr>
        <w:pStyle w:val="newncpi"/>
      </w:pPr>
      <w:r>
        <w:t>прекратить оказание услуги электросвязи при наличии решения оператора электросвязи, поставщика услуг электросвязи о прекращении оказания услуги электросвязи и выводе из эксплуатации средств электросвязи;</w:t>
      </w:r>
    </w:p>
    <w:p w:rsidR="007B4F32" w:rsidRDefault="007B4F32">
      <w:pPr>
        <w:pStyle w:val="newncpi"/>
      </w:pPr>
      <w:r>
        <w:t>осуществлять запись разговора с предварительным уведомлением абонента или пользователя услуг электросвязи при оказании им справочно-информационных услуг, обслуживании службой технической поддержки и в сервисных центрах оператора или поставщика услуг электросвязи;</w:t>
      </w:r>
    </w:p>
    <w:p w:rsidR="007B4F32" w:rsidRDefault="007B4F32">
      <w:pPr>
        <w:pStyle w:val="newncpi"/>
      </w:pPr>
      <w:r>
        <w:t>отказать в оказании справочно-информационных услуг, обслуживании службой технической поддержки и в сервисных центрах оператора, поставщика услуг электросвязи, если абонент или пользователь услуг электросвязи допускает употребление нецензурных либо оскорбительных выражений;</w:t>
      </w:r>
    </w:p>
    <w:p w:rsidR="007B4F32" w:rsidRDefault="007B4F32">
      <w:pPr>
        <w:pStyle w:val="newncpi"/>
      </w:pPr>
      <w:r>
        <w:t>принимать в соответствии с актами законодательства меры по привлечению к ответственности лиц, виновных в нарушении требований настоящих Правил;</w:t>
      </w:r>
    </w:p>
    <w:p w:rsidR="007B4F32" w:rsidRDefault="007B4F32">
      <w:pPr>
        <w:pStyle w:val="newncpi"/>
      </w:pPr>
      <w:r>
        <w:t>иные права, предусмотренные актами законодательства.</w:t>
      </w:r>
    </w:p>
    <w:p w:rsidR="007B4F32" w:rsidRDefault="007B4F32">
      <w:pPr>
        <w:pStyle w:val="point"/>
      </w:pPr>
      <w:r>
        <w:t>28. Оператор электросвязи, поставщик услуг электросвязи обязаны:</w:t>
      </w:r>
    </w:p>
    <w:p w:rsidR="007B4F32" w:rsidRDefault="007B4F32">
      <w:pPr>
        <w:pStyle w:val="newncpi"/>
      </w:pPr>
      <w:r>
        <w:t>обеспечивать абонентам оказание услуг электросвязи с параметрами (показателями) не ниже установленных показателей качества;</w:t>
      </w:r>
    </w:p>
    <w:p w:rsidR="007B4F32" w:rsidRDefault="007B4F32">
      <w:pPr>
        <w:pStyle w:val="newncpi"/>
      </w:pPr>
      <w:r>
        <w:t>своевременно информировать абонентов одним из способов, указанных в пункте 12 настоящих Правил, о крупных авариях, их причинах и предполагаемых сроках устранения, а также о проведении плановых ремонтных работ на эксплуатируемых ими сетях электросвязи не позднее чем за сутки до их проведения и сроках их окончания, предстоящих отключениях эксплуатируемой ими сети электросвязи либо ее элементов, влекущих прекращение (приостановление) оказания услуг электросвязи абонентам и пользователям услуг электросвязи, находящимся в зоне ее обслуживания;</w:t>
      </w:r>
    </w:p>
    <w:p w:rsidR="007B4F32" w:rsidRDefault="007B4F32">
      <w:pPr>
        <w:pStyle w:val="newncpi"/>
      </w:pPr>
      <w:r>
        <w:t>соблюдать тайну телефонных и иных сообщений, передаваемых по сетям электросвязи, за исключением случаев, предусмотренных законодательными актами;</w:t>
      </w:r>
    </w:p>
    <w:p w:rsidR="007B4F32" w:rsidRDefault="007B4F32">
      <w:pPr>
        <w:pStyle w:val="newncpi"/>
      </w:pPr>
      <w:r>
        <w:t>оказывать услуги электросвязи в сроки, установленные договором и настоящими Правилами;</w:t>
      </w:r>
    </w:p>
    <w:p w:rsidR="007B4F32" w:rsidRDefault="007B4F32">
      <w:pPr>
        <w:pStyle w:val="newncpi"/>
      </w:pPr>
      <w:r>
        <w:t>своевременно предоставлять пользователям услуг электросвязи актуальную информацию об оказываемых услугах электросвязи, в том числе о зоне обслуживания, зоне уверенного приема (зоне покрытия), а также уведомлять о необходимости ознакомиться с настоящими Правилами;</w:t>
      </w:r>
    </w:p>
    <w:p w:rsidR="007B4F32" w:rsidRDefault="007B4F32">
      <w:pPr>
        <w:pStyle w:val="newncpi"/>
      </w:pPr>
      <w:r>
        <w:t>в установленные сроки устранять повреждения средств электросвязи, оконечных абонентских устройств (терминалов), принадлежащих оператору электросвязи, поставщику услуг электросвязи. Работники оператора электросвязи, поставщика услуг электросвязи, вызываемые абонентом для осмотра и ремонта таких оконечных абонентских устройств (терминалов) и выполнения других работ, должны предъявлять соответствующее удостоверение;</w:t>
      </w:r>
    </w:p>
    <w:p w:rsidR="007B4F32" w:rsidRDefault="007B4F32">
      <w:pPr>
        <w:pStyle w:val="newncpi"/>
      </w:pPr>
      <w:r>
        <w:t>производить перерасчет платы за услуги электросвязи в случае неисправности сети электросвязи не по вине абонента более 36 часов с момента регистрации заявки абонента в службе технической поддержки;</w:t>
      </w:r>
    </w:p>
    <w:p w:rsidR="007B4F32" w:rsidRDefault="007B4F32">
      <w:pPr>
        <w:pStyle w:val="newncpi"/>
      </w:pPr>
      <w:r>
        <w:t>извещать абонентов об изменении тарифов на услуги электросвязи в сроки, установленные частью первой пункта 12 настоящих Правил;</w:t>
      </w:r>
    </w:p>
    <w:p w:rsidR="007B4F32" w:rsidRDefault="007B4F32">
      <w:pPr>
        <w:pStyle w:val="newncpi"/>
      </w:pPr>
      <w:r>
        <w:t>при оказании услуг передачи данных ограничивать доступ абонентов и пользователей услуг электросвязи к интернет-ресурсам, сетевым изданиям, новостным агрегаторам согласно списку ограниченного доступа идентификаторов интернет-ресурсов, доступ к которым ограничен, формирование и ведение которого осуществляется в соответствии с законодательством;</w:t>
      </w:r>
    </w:p>
    <w:p w:rsidR="007B4F32" w:rsidRDefault="007B4F32">
      <w:pPr>
        <w:pStyle w:val="newncpi"/>
      </w:pPr>
      <w:r>
        <w:lastRenderedPageBreak/>
        <w:t>осуществлять идентификацию оконечных абонентских устройств (терминалов) при оказании услуг передачи данных, учет и хранение сведений об оконечных абонентских устройствах (терминалах), оказанных услугах передачи данных;</w:t>
      </w:r>
    </w:p>
    <w:p w:rsidR="007B4F32" w:rsidRDefault="007B4F32">
      <w:pPr>
        <w:pStyle w:val="newncpi"/>
      </w:pPr>
      <w:r>
        <w:t>в порядке, определяемом законодательством, обеспечивать передачу абонентам и пользователям услуг сотовой подвижной электросвязи сигналов оповещения и экстренной информации об опасностях в случае угрозы возникновения или возникновения чрезвычайных ситуаций природного и техногенного характера, а также при ведении военных действий или вследствие этих действий;</w:t>
      </w:r>
    </w:p>
    <w:p w:rsidR="007B4F32" w:rsidRDefault="007B4F32">
      <w:pPr>
        <w:pStyle w:val="newncpi"/>
      </w:pPr>
      <w:r>
        <w:t>при оказании услуг передачи данных осуществлять активацию настроек (функций) безопасности, встроенных в оконечные абонентские устройства (терминалы), предоставляемые абонентам;</w:t>
      </w:r>
    </w:p>
    <w:p w:rsidR="007B4F32" w:rsidRDefault="007B4F32">
      <w:pPr>
        <w:pStyle w:val="newncpi"/>
      </w:pPr>
      <w:r>
        <w:t>информировать абонентов в порядке, определенном договором, о различных видах исходящих от них неправомерных воздействий, заведомо приводящих к нарушению конфиденциальности, целостности, подлинности, доступности, сохранности информации, сведения о которых стали известны оператору электросвязи, поставщику услуг электросвязи, оказывающим услуги передачи данных;</w:t>
      </w:r>
    </w:p>
    <w:p w:rsidR="007B4F32" w:rsidRDefault="007B4F32">
      <w:pPr>
        <w:pStyle w:val="newncpi"/>
      </w:pPr>
      <w:r>
        <w:t>с согласия абонента, отраженного в договоре, обеспечивать приостановку оказания услуг передачи данных, связанных с доступом к сети Интернет, в случае превышения потребления объема предварительно оплаченных услуг передачи данных;</w:t>
      </w:r>
    </w:p>
    <w:p w:rsidR="007B4F32" w:rsidRDefault="007B4F32">
      <w:pPr>
        <w:pStyle w:val="newncpi"/>
      </w:pPr>
      <w:r>
        <w:t>при оказании услуг сотовой подвижной электросвязи обеспечить оказание услуги переносимости абонентского номера (номеров);</w:t>
      </w:r>
    </w:p>
    <w:p w:rsidR="007B4F32" w:rsidRDefault="007B4F32">
      <w:pPr>
        <w:pStyle w:val="newncpi"/>
      </w:pPr>
      <w:r>
        <w:t>выполнять требования актов законодательства, регламентирующих работу системы противодействия нарушениям порядка пропуска трафика на сетях электросвязи;</w:t>
      </w:r>
    </w:p>
    <w:p w:rsidR="007B4F32" w:rsidRDefault="007B4F32">
      <w:pPr>
        <w:pStyle w:val="newncpi"/>
      </w:pPr>
      <w:r>
        <w:t>осуществлять рассылку СМС-сообщений в сети других операторов электросвязи только на основании заключенных с такими операторами договоров на прием и доставку рассылки СМС-сообщений с соблюдением установленных законодательством требований по взаимодействию операторов электросвязи, порядку пропуска трафика на сетях электросвязи;</w:t>
      </w:r>
    </w:p>
    <w:p w:rsidR="007B4F32" w:rsidRDefault="007B4F32">
      <w:pPr>
        <w:pStyle w:val="newncpi"/>
      </w:pPr>
      <w:r>
        <w:t>осуществлять рассылку СМС-сообщений только с указанием абонентского номера или уникального кода идентификации, позволяющего определить отправителя этих сообщений, и при условии получения предварительного согласия абонента, выраженного посредством совершения им действий, позволяющих достоверно установить его волеизъявление на получение рассылки;</w:t>
      </w:r>
    </w:p>
    <w:p w:rsidR="007B4F32" w:rsidRDefault="007B4F32">
      <w:pPr>
        <w:pStyle w:val="newncpi"/>
      </w:pPr>
      <w:r>
        <w:t>по заявлению абонента без взимания платы с абонента прекратить рассылку СМС-сообщений с указанного абонентом абонентского номера или уникального кода идентификации, за исключением СМС-сообщений, передача которых осуществляется оператором сотовой подвижной электросвязи в соответствии с законодательством;</w:t>
      </w:r>
    </w:p>
    <w:p w:rsidR="007B4F32" w:rsidRDefault="007B4F32">
      <w:pPr>
        <w:pStyle w:val="newncpi"/>
      </w:pPr>
      <w:r>
        <w:t>обеспечивать возможность бесплатного телефонного соединения с экстренными службами, службой технической поддержки, за исключением нахождения абонента в роуминге;</w:t>
      </w:r>
    </w:p>
    <w:p w:rsidR="007B4F32" w:rsidRDefault="007B4F32">
      <w:pPr>
        <w:pStyle w:val="newncpi"/>
      </w:pPr>
      <w:r>
        <w:t>обеспечивать оказание абонентам услуг по ограничению доступа к информации, распространяемой посредством сети Интернет, в том числе причиняющей вред здоровью и развитию детей;</w:t>
      </w:r>
    </w:p>
    <w:p w:rsidR="007B4F32" w:rsidRDefault="007B4F32">
      <w:pPr>
        <w:pStyle w:val="newncpi"/>
      </w:pPr>
      <w:r>
        <w:t>при оказании услуги по трансляции телепрограмм обеспечить передачу до оконечного абонентского устройства (терминала) без изменения формы или содержания телепрограмм, входящих в расширенный пакет телепрограмм и обязательный общедоступный пакет телепрограмм;</w:t>
      </w:r>
    </w:p>
    <w:p w:rsidR="007B4F32" w:rsidRDefault="007B4F32">
      <w:pPr>
        <w:pStyle w:val="newncpi"/>
      </w:pPr>
      <w:r>
        <w:t>при оказании услуг сотовой подвижной электросвязи на территории Республики Беларусь оперативно уведомлять абонента об израсходовании объема заказанных услуг электросвязи и стоимости, по которой будет продолжено оказание услуг электросвязи;</w:t>
      </w:r>
    </w:p>
    <w:p w:rsidR="007B4F32" w:rsidRDefault="007B4F32">
      <w:pPr>
        <w:pStyle w:val="newncpi"/>
      </w:pPr>
      <w:r>
        <w:t>соблюдать иные требования, предусмотренные актами законодательства.</w:t>
      </w:r>
    </w:p>
    <w:p w:rsidR="007B4F32" w:rsidRDefault="007B4F32">
      <w:pPr>
        <w:pStyle w:val="point"/>
      </w:pPr>
      <w:r>
        <w:lastRenderedPageBreak/>
        <w:t>29. Оператор универсального обслуживания обязан обеспечить абоненту (по его выбору) оказание одной или нескольких универсальных услуг электросвязи на условиях договора, а также возможность бесплатного соединения с экстренными службами и службой технической поддержки.</w:t>
      </w:r>
    </w:p>
    <w:p w:rsidR="007B4F32" w:rsidRDefault="007B4F32">
      <w:pPr>
        <w:pStyle w:val="newncpi"/>
      </w:pPr>
      <w:r>
        <w:t>Договор должен вступать в силу не ранее даты оказания оператором универсального обслуживания абоненту услуги по предоставлению доступа к сети стационарной электросвязи и (или) сети сотовой подвижной электросвязи оператора универсального обслуживания, в совокупности составляющих сеть электросвязи оператора универсального обслуживания, с использованием оконечного абонентского устройства (терминала).</w:t>
      </w:r>
    </w:p>
    <w:p w:rsidR="007B4F32" w:rsidRDefault="007B4F32">
      <w:pPr>
        <w:pStyle w:val="point"/>
      </w:pPr>
      <w:r>
        <w:t>30. Операторы электросвязи, оказывающие услуги по передаче телеграмм, и иные организации, оказывающие услуги по передаче телеграмм (далее – организации, оказывающие услуги по передаче телеграмм), несут ответственность в порядке, предусмотренном законодательством, за искажение телеграммы, изменившее ее смысл, недоставку телеграммы или вручение телеграммы адресату по истечении контрольных сроков прохождения телеграммы в размере оплаты за телеграмму.</w:t>
      </w:r>
    </w:p>
    <w:p w:rsidR="007B4F32" w:rsidRDefault="007B4F32">
      <w:pPr>
        <w:pStyle w:val="newncpi"/>
      </w:pPr>
      <w:r>
        <w:t>Ответственность перед отправителем за неисполнение или ненадлежащее исполнение услуг по передаче телеграмм несут организации, оказывающие услуги по передаче телеграмм, которым была подана телеграмма отправителем.</w:t>
      </w:r>
    </w:p>
    <w:p w:rsidR="007B4F32" w:rsidRDefault="007B4F32">
      <w:pPr>
        <w:pStyle w:val="point"/>
      </w:pPr>
      <w:r>
        <w:t>31. Операторы электросвязи, поставщики услуг электросвязи не несут ответственности, если неисполнение или ненадлежащее исполнение ими обязательств по договору имело место вследствие обстоятельств непреодолимой силы (форс-мажор, выполнение требований уполномоченных органов) или из-за нарушения абонентом условий договора и (или) требований настоящих Правил.</w:t>
      </w:r>
    </w:p>
    <w:p w:rsidR="007B4F32" w:rsidRDefault="007B4F32">
      <w:pPr>
        <w:pStyle w:val="chapter"/>
      </w:pPr>
      <w:r>
        <w:t>ГЛАВА 5</w:t>
      </w:r>
      <w:r>
        <w:br/>
        <w:t>ПРАВА, ОБЯЗАННОСТИ И ОТВЕТСТВЕННОСТЬ АБОНЕНТА</w:t>
      </w:r>
    </w:p>
    <w:p w:rsidR="007B4F32" w:rsidRDefault="007B4F32">
      <w:pPr>
        <w:pStyle w:val="point"/>
      </w:pPr>
      <w:r>
        <w:t>32. Абонент имеет право на:</w:t>
      </w:r>
    </w:p>
    <w:p w:rsidR="007B4F32" w:rsidRDefault="007B4F32">
      <w:pPr>
        <w:pStyle w:val="newncpi"/>
      </w:pPr>
      <w:r>
        <w:t>доступ к информации о тарифах, видах услуг электросвязи, сроках их оказания, режиме работы оператора электросвязи, поставщика услуг электросвязи, а также к иной информации, необходимой для пользования услугами электросвязи;</w:t>
      </w:r>
    </w:p>
    <w:p w:rsidR="007B4F32" w:rsidRDefault="007B4F32">
      <w:pPr>
        <w:pStyle w:val="newncpi"/>
      </w:pPr>
      <w:r>
        <w:t>своевременное и качественное оказание услуг электросвязи операторами электросвязи, поставщиками услуг электросвязи;</w:t>
      </w:r>
    </w:p>
    <w:p w:rsidR="007B4F32" w:rsidRDefault="007B4F32">
      <w:pPr>
        <w:pStyle w:val="newncpi"/>
      </w:pPr>
      <w:r>
        <w:t>пользование льготами, предусмотренными актами законодательства, при получении услуг электросвязи;</w:t>
      </w:r>
    </w:p>
    <w:p w:rsidR="007B4F32" w:rsidRDefault="007B4F32">
      <w:pPr>
        <w:pStyle w:val="newncpi"/>
      </w:pPr>
      <w:r>
        <w:t>возмещение вреда, причиненного при оказании услуг электросвязи, в соответствии с актами законодательства.</w:t>
      </w:r>
    </w:p>
    <w:p w:rsidR="007B4F32" w:rsidRDefault="007B4F32">
      <w:pPr>
        <w:pStyle w:val="point"/>
      </w:pPr>
      <w:r>
        <w:t>33. Абонент обязан:</w:t>
      </w:r>
    </w:p>
    <w:p w:rsidR="007B4F32" w:rsidRDefault="007B4F32">
      <w:pPr>
        <w:pStyle w:val="newncpi"/>
      </w:pPr>
      <w:r>
        <w:t>для получения услуг электросвязи использовать оконечное абонентское устройство (терминал), на которое имеется документ об оценке соответствия, выданный в Национальной системе подтверждения соответствия Республики Беларусь;</w:t>
      </w:r>
    </w:p>
    <w:p w:rsidR="007B4F32" w:rsidRDefault="007B4F32">
      <w:pPr>
        <w:pStyle w:val="newncpi"/>
      </w:pPr>
      <w:r>
        <w:t>не допускать механических повреждений абонентского оконечного устройства (терминала), предоставленного ему оператором электросвязи, поставщиком услуг электросвязи, возвращать указанное оборудование оператору электросвязи, поставщику услуг электросвязи в полной комплектации и чистом виде;</w:t>
      </w:r>
    </w:p>
    <w:p w:rsidR="007B4F32" w:rsidRDefault="007B4F32">
      <w:pPr>
        <w:pStyle w:val="newncpi"/>
      </w:pPr>
      <w:r>
        <w:t>не вносить изменения в код программного обеспечения оконечного абонентского устройства (терминала), карты доступа, предоставленных ему оператором электросвязи, поставщиком услуг электросвязи;</w:t>
      </w:r>
    </w:p>
    <w:p w:rsidR="007B4F32" w:rsidRDefault="007B4F32">
      <w:pPr>
        <w:pStyle w:val="newncpi"/>
      </w:pPr>
      <w:r>
        <w:t>не предпринимать действий, которые могут повлечь нарушение функционирования сетей электросвязи и (или) входящих в них средств электросвязи;</w:t>
      </w:r>
    </w:p>
    <w:p w:rsidR="007B4F32" w:rsidRDefault="007B4F32">
      <w:pPr>
        <w:pStyle w:val="newncpi"/>
      </w:pPr>
      <w:r>
        <w:t>не допускать использования сети электросвязи для передачи информации, запрещенной к распространению в соответствии с актами законодательства;</w:t>
      </w:r>
    </w:p>
    <w:p w:rsidR="007B4F32" w:rsidRDefault="007B4F32">
      <w:pPr>
        <w:pStyle w:val="newncpi"/>
      </w:pPr>
      <w:r>
        <w:lastRenderedPageBreak/>
        <w:t>не допускать использования предоставляемых абонентских номеров и (или) карт доступа либо персональных идентификационных номеров для организации присоединения и взаимодействия сетей электросвязи в нарушение установленного законодательством порядка пропуска трафика между ними;</w:t>
      </w:r>
    </w:p>
    <w:p w:rsidR="007B4F32" w:rsidRDefault="007B4F32">
      <w:pPr>
        <w:pStyle w:val="newncpi"/>
      </w:pPr>
      <w:r>
        <w:t>не предоставлять право пользования услугами электросвязи третьим лицам для оказания ими услуг электросвязи;</w:t>
      </w:r>
    </w:p>
    <w:p w:rsidR="007B4F32" w:rsidRDefault="007B4F32">
      <w:pPr>
        <w:pStyle w:val="newncpi"/>
      </w:pPr>
      <w:r>
        <w:t>не осуществлять действий, способствующих распространению электронных сообщений, не позволяющих определить отправителей этих сообщений, в том числе ввиду указания в них несуществующих или фальсифицированных адресов отправителей, неопределенному кругу лиц без их предварительного согласия;</w:t>
      </w:r>
    </w:p>
    <w:p w:rsidR="007B4F32" w:rsidRDefault="007B4F32">
      <w:pPr>
        <w:pStyle w:val="newncpi"/>
      </w:pPr>
      <w:r>
        <w:t>производить оплату услуг электросвязи в сроки, установленные договором;</w:t>
      </w:r>
    </w:p>
    <w:p w:rsidR="007B4F32" w:rsidRDefault="007B4F32">
      <w:pPr>
        <w:pStyle w:val="newncpi"/>
      </w:pPr>
      <w:r>
        <w:t>вежливо относиться к работникам оператора электросвязи, поставщика услуг электросвязи, не допускать употребления нецензурных либо оскорбительных выражений;</w:t>
      </w:r>
    </w:p>
    <w:p w:rsidR="007B4F32" w:rsidRDefault="007B4F32">
      <w:pPr>
        <w:pStyle w:val="newncpi"/>
      </w:pPr>
      <w:r>
        <w:t>сообщать в месячный срок оператору электросвязи, поставщику услуг электросвязи:</w:t>
      </w:r>
    </w:p>
    <w:p w:rsidR="007B4F32" w:rsidRDefault="007B4F32">
      <w:pPr>
        <w:pStyle w:val="newncpi"/>
      </w:pPr>
      <w:r>
        <w:t>об изменении фамилии, собственного имени, отчества (если таковое имеется) физического лица, данных документа, удостоверяющего личность, о приобретении или отмене права на льготу по оплате за пользование услугами электросвязи;</w:t>
      </w:r>
    </w:p>
    <w:p w:rsidR="007B4F32" w:rsidRDefault="007B4F32">
      <w:pPr>
        <w:pStyle w:val="newncpi"/>
      </w:pPr>
      <w:r>
        <w:t>об изменении фамилии, собственного имени, отчества (если таковое имеется), места жительства, данных документа, удостоверяющего личность физического лица и индивидуального предпринимателя, текущего (расчетного) банковского счета индивидуального предпринимателя (при наличии), о принятом решении о прекращении деятельности индивидуального предпринимателя, об изменениях полного наименования, места нахождения, текущего (расчетного) банковского счета юридического лица, о принятом решении о ликвидации юридического лица, о прекращении его деятельности в результате реорганизации;</w:t>
      </w:r>
    </w:p>
    <w:p w:rsidR="007B4F32" w:rsidRDefault="007B4F32">
      <w:pPr>
        <w:pStyle w:val="newncpi"/>
      </w:pPr>
      <w:r>
        <w:t>о факте утраты права собственности, владения или пользования помещением, в котором установлено оконечное абонентское устройство (терминал);</w:t>
      </w:r>
    </w:p>
    <w:p w:rsidR="007B4F32" w:rsidRDefault="007B4F32">
      <w:pPr>
        <w:pStyle w:val="newncpi"/>
      </w:pPr>
      <w:r>
        <w:t>о сдаче юридическим лицом или индивидуальным предпринимателем помещения, в котором установлено оконечное абонентское устройство (терминал) стационарной сети электросвязи, в аренду другому юридическому лицу или индивидуальному предпринимателю;</w:t>
      </w:r>
    </w:p>
    <w:p w:rsidR="007B4F32" w:rsidRDefault="007B4F32">
      <w:pPr>
        <w:pStyle w:val="newncpi"/>
      </w:pPr>
      <w:r>
        <w:t>о расторжении юридическим лицом или индивидуальным предпринимателем договора аренды помещения, в котором установлено оконечное абонентское устройство (терминал) стационарной сети электросвязи, либо его продлении;</w:t>
      </w:r>
    </w:p>
    <w:p w:rsidR="007B4F32" w:rsidRDefault="007B4F32">
      <w:pPr>
        <w:pStyle w:val="newncpi"/>
      </w:pPr>
      <w:r>
        <w:t>об утере и повреждении оконечного абонентского устройства (терминала) или его частей, карты доступа, принадлежащих оператору электросвязи, поставщику услуг электросвязи.</w:t>
      </w:r>
    </w:p>
    <w:p w:rsidR="007B4F32" w:rsidRDefault="007B4F32">
      <w:pPr>
        <w:pStyle w:val="newncpi"/>
      </w:pPr>
      <w:r>
        <w:t>Абоненты сотовой подвижной электросвязи обязаны соблюдать требования законодательства о предотвращении легализации доходов, полученных преступным путем, финансирования террористической деятельности и финансирования распространения оружия массового поражения.</w:t>
      </w:r>
    </w:p>
    <w:p w:rsidR="007B4F32" w:rsidRDefault="007B4F32">
      <w:pPr>
        <w:pStyle w:val="newncpi"/>
      </w:pPr>
      <w:r>
        <w:t>Абонент, осуществляющий коллективный доступ к сети Интернет, для выполнения обязанностей по идентификации, учету и хранению сведений вправе на договорной основе пользоваться соответствующими услугами оператора электросвязи, посредством сети передачи данных которого организуется такой доступ.</w:t>
      </w:r>
    </w:p>
    <w:p w:rsidR="007B4F32" w:rsidRDefault="007B4F32">
      <w:pPr>
        <w:pStyle w:val="point"/>
      </w:pPr>
      <w:r>
        <w:t>34. Абонент несет ответственность в соответствии с условиями заключенного договора, настоящими Правилами и иными актами законодательства.</w:t>
      </w:r>
    </w:p>
    <w:p w:rsidR="007B4F32" w:rsidRDefault="007B4F32">
      <w:pPr>
        <w:pStyle w:val="chapter"/>
      </w:pPr>
      <w:r>
        <w:t>ГЛАВА 6</w:t>
      </w:r>
      <w:r>
        <w:br/>
        <w:t>КАЧЕСТВО УСЛУГ ЭЛЕКТРОСВЯЗИ, ОКАЗЫВАЕМЫХ ОПЕРАТОРАМИ ЭЛЕКТРОСВЯЗИ, ПОСТАВЩИКАМИ УСЛУГ ЭЛЕКТРОСВЯЗИ</w:t>
      </w:r>
    </w:p>
    <w:p w:rsidR="007B4F32" w:rsidRDefault="007B4F32">
      <w:pPr>
        <w:pStyle w:val="point"/>
      </w:pPr>
      <w:r>
        <w:lastRenderedPageBreak/>
        <w:t>35. Услуги электросвязи оказываются операторами электросвязи, поставщиками услуг электросвязи (за исключением поставщиков услуг ОТТ-сервиса) абонентам с показателями качества не ниже установленных договором, настоящими Правилами, иными нормативными правовыми актами, предусмотренных обязательными для применения техническими нормативными правовыми актами, техническими регламентами Таможенного союза и Евразийского экономического союза.</w:t>
      </w:r>
    </w:p>
    <w:p w:rsidR="007B4F32" w:rsidRDefault="007B4F32">
      <w:pPr>
        <w:pStyle w:val="newncpi"/>
      </w:pPr>
      <w:r>
        <w:t>Операторы электросвязи, поставщики услуг электросвязи (за исключением поставщиков услуг ОТТ-сервиса) обязаны ежеквартально размещать сведения об измеренных значениях показателей качества на своем официальном сайте в сети Интернет не позднее 15-го числа месяца, следующего за отчетным кварталом.</w:t>
      </w:r>
    </w:p>
    <w:p w:rsidR="007B4F32" w:rsidRDefault="007B4F32">
      <w:pPr>
        <w:pStyle w:val="point"/>
      </w:pPr>
      <w:r>
        <w:t>36. Оператор сотовой подвижной электросвязи оказывает услуги электросвязи с соблюдением показателей качества в пределах заявленной им зоны обслуживания сети сотовой подвижной электросвязи.</w:t>
      </w:r>
    </w:p>
    <w:p w:rsidR="007B4F32" w:rsidRDefault="007B4F32">
      <w:pPr>
        <w:pStyle w:val="newncpi"/>
      </w:pPr>
      <w:r>
        <w:t>Оператор сотовой подвижной электросвязи обязан ежеквартально, не позднее 1-го числа месяца, следующего за отчетным кварталом, размещать на своем официальном сайте в сети Интернет карту зоны обслуживания сети сотовой подвижной электросвязи. При этом он может размещать карты отдельных зон обслуживания сети сотовой подвижной электросвязи для различных условий приема (на открытой местности, внутри транспортных средств, внутри помещений) и видов услуг.</w:t>
      </w:r>
    </w:p>
    <w:p w:rsidR="007B4F32" w:rsidRDefault="007B4F32">
      <w:pPr>
        <w:pStyle w:val="point"/>
      </w:pPr>
      <w:r>
        <w:t>37. Измерения показателей качества услуг сотовой подвижной электросвязи с применением специализированных аппаратно-программных испытательных комплексов, испытательных подвижных станций осуществляются республиканским унитарным предприятием по надзору за электросвязью «БелГИЭ» (далее – государственное предприятие «БелГИЭ») и операторами сотовой подвижной электросвязи с использованием методов контроля, методик измерений (оценки) и расчета показателей качества, определенных в настоящих Правилах и обязательных для соблюдения технических нормативных правовых актах.</w:t>
      </w:r>
    </w:p>
    <w:p w:rsidR="007B4F32" w:rsidRDefault="007B4F32">
      <w:pPr>
        <w:pStyle w:val="newncpi"/>
      </w:pPr>
      <w:r>
        <w:t>Государственное предприятие «БелГИЭ» при осуществлении оценки качества услуг сотовой подвижной электросвязи применяет систему контроля качества сотовой подвижной электросвязи, состоящую из специализированных испытательных, аппаратно-программных комплексов, испытательных подвижных станций и информационных ресурсов. Размещение результатов оценки качества услуг сотовой подвижной электросвязи осуществляется на официальном сайте государственного предприятия «БелГИЭ» в сети Интернет. Указанные результаты оценки предназначены для ознакомления абонентов, пользователей услуг сотовой подвижной электросвязи и не могут использоваться при разрешении спорных или конфликтных ситуаций.</w:t>
      </w:r>
    </w:p>
    <w:p w:rsidR="007B4F32" w:rsidRDefault="007B4F32">
      <w:pPr>
        <w:pStyle w:val="point"/>
      </w:pPr>
      <w:r>
        <w:t>38. Оператор электросвязи, оказывающий услуги наземного цифрового телевизионного вещания, размещает на своем официальном сайте в сети Интернет карту зоны обслуживания своей сети.</w:t>
      </w:r>
    </w:p>
    <w:p w:rsidR="007B4F32" w:rsidRDefault="007B4F32">
      <w:pPr>
        <w:pStyle w:val="chapter"/>
      </w:pPr>
      <w:r>
        <w:t>ГЛАВА 7</w:t>
      </w:r>
      <w:r>
        <w:br/>
        <w:t>ПОРЯДОК И ФОРМА ОПЛАТЫ ЗА ОКАЗАННЫЕ УСЛУГИ ЭЛЕКТРОСВЯЗИ</w:t>
      </w:r>
    </w:p>
    <w:p w:rsidR="007B4F32" w:rsidRDefault="007B4F32">
      <w:pPr>
        <w:pStyle w:val="point"/>
      </w:pPr>
      <w:r>
        <w:t>39. Тарифы на услуги электросвязи устанавливаются оператором электросвязи, поставщиком услуг электросвязи самостоятельно, за исключением услуг электросвязи, тарифы на которые регулируются в соответствии с законодательством о ценообразовании. Оператором электросвязи, поставщиком услуг электросвязи может устанавливаться совокупность тарифов и иных условий, на которых оказывается одна или несколько услуг электросвязи (далее – тарифный план).</w:t>
      </w:r>
    </w:p>
    <w:p w:rsidR="007B4F32" w:rsidRDefault="007B4F32">
      <w:pPr>
        <w:pStyle w:val="point"/>
      </w:pPr>
      <w:r>
        <w:t xml:space="preserve">40. Тарифы (тарифные планы) на услуги электросвязи могут быть установлены отдельно для юридических лиц, индивидуальных предпринимателей и физических лиц. Тарифным планом могут устанавливаться дифференцированные тарифы по времени суток, дням недели, выходным и нерабочим праздничным дням, а также по набору </w:t>
      </w:r>
      <w:r>
        <w:lastRenderedPageBreak/>
        <w:t>и объему оказываемых услуг электросвязи. Тарифы (тарифные планы) на услуги электросвязи могут дифференцироваться по иным основаниям, устанавливаемым оператором электросвязи, поставщиком услуг электросвязи. Минимальный срок действия тарифного плана на услуги сотовой подвижной электросвязи составляет два года со дня его установления.</w:t>
      </w:r>
    </w:p>
    <w:p w:rsidR="007B4F32" w:rsidRDefault="007B4F32">
      <w:pPr>
        <w:pStyle w:val="newncpi"/>
      </w:pPr>
      <w:r>
        <w:t>Оператор электросвязи, поставщик услуг электросвязи вправе осуществлять смену тарифного плана с предварительного согласия абонента. Допускается осуществление смены тарифного плана без согласия абонента в случае закрытия тарифного плана с предварительным уведомлением оператором электросвязи, поставщиком услуг электросвязи абонента и предоставлением абоненту права самостоятельного выбора тарифного плана взамен закрытого способами и в порядке, указанными в договоре, за исключением случая, когда у абонента имеются обязательства по пользованию тарифным планом, предусмотренные договором. В случае отсутствия волеизъявления со стороны абонента на самостоятельный выбор тарифного плана взамен закрытого в течение 10 календарных дней с момента уведомления оператор электросвязи, поставщик услуг электросвязи имеют право осуществить смену тарифного плана, предусмотренного договором, на тарифный план, наиболее близкий по условиям к действующему.</w:t>
      </w:r>
    </w:p>
    <w:p w:rsidR="007B4F32" w:rsidRDefault="007B4F32">
      <w:pPr>
        <w:pStyle w:val="point"/>
      </w:pPr>
      <w:r>
        <w:t>41. Единица тарификации услуги в сети электросвязи устанавливается оператором электросвязи, поставщиком услуг электросвязи. Учет объема оказанной услуги электросвязи ведется в соответствии с принятой оператором электросвязи, поставщиком услуг электросвязи единицей тарификации.</w:t>
      </w:r>
    </w:p>
    <w:p w:rsidR="007B4F32" w:rsidRDefault="007B4F32">
      <w:pPr>
        <w:pStyle w:val="point"/>
      </w:pPr>
      <w:r>
        <w:t>42. Операторы электросвязи, поставщики услуг электросвязи при формировании тарифных планов применяют следующие виды тарификации:</w:t>
      </w:r>
    </w:p>
    <w:p w:rsidR="007B4F32" w:rsidRDefault="007B4F32">
      <w:pPr>
        <w:pStyle w:val="newncpi"/>
      </w:pPr>
      <w:r>
        <w:t>абонентская плата, при которой размер платы абонента за расчетный период является величиной постоянной, не зависящей от объема фактически полученных услуг электросвязи;</w:t>
      </w:r>
    </w:p>
    <w:p w:rsidR="007B4F32" w:rsidRDefault="007B4F32">
      <w:pPr>
        <w:pStyle w:val="newncpi"/>
      </w:pPr>
      <w:r>
        <w:t>повременная плата, при которой размер платы абонента зависит от суммарной продолжительности инициированных абонентом соединений, предоставленных в течение расчетного периода, а также вида предоставленного телефонного соединения (местное, междугородное, международное);</w:t>
      </w:r>
    </w:p>
    <w:p w:rsidR="007B4F32" w:rsidRDefault="007B4F32">
      <w:pPr>
        <w:pStyle w:val="newncpi"/>
      </w:pPr>
      <w:r>
        <w:t>плата, размер которой за расчетный период зависит от объема фактически полученных абонентом услуг электросвязи;</w:t>
      </w:r>
    </w:p>
    <w:p w:rsidR="007B4F32" w:rsidRDefault="007B4F32">
      <w:pPr>
        <w:pStyle w:val="newncpi"/>
      </w:pPr>
      <w:r>
        <w:t>плата за каждую оказанную услугу электросвязи;</w:t>
      </w:r>
    </w:p>
    <w:p w:rsidR="007B4F32" w:rsidRDefault="007B4F32">
      <w:pPr>
        <w:pStyle w:val="newncpi"/>
      </w:pPr>
      <w:r>
        <w:t>иные виды тарификации.</w:t>
      </w:r>
    </w:p>
    <w:p w:rsidR="007B4F32" w:rsidRDefault="007B4F32">
      <w:pPr>
        <w:pStyle w:val="newncpi"/>
      </w:pPr>
      <w:r>
        <w:t>При формировании тарифных планов допускается сочетание нескольких видов тарификации.</w:t>
      </w:r>
    </w:p>
    <w:p w:rsidR="007B4F32" w:rsidRDefault="007B4F32">
      <w:pPr>
        <w:pStyle w:val="point"/>
      </w:pPr>
      <w:r>
        <w:t>43. Абонентом вносится плата за услуги сотовой подвижной электросвязи оператору электросвязи, с которым у него заключен договор, в том числе в случаях, когда он с применением карты доступа, указанной в договоре, воспользовался услугами сотовой подвижной электросвязи другого оператора электросвязи (роуминг) или поставщика услуг электросвязи.</w:t>
      </w:r>
    </w:p>
    <w:p w:rsidR="007B4F32" w:rsidRDefault="007B4F32">
      <w:pPr>
        <w:pStyle w:val="point"/>
      </w:pPr>
      <w:r>
        <w:t>44. При расчете размера платы за оказанные услуги электросвязи применяется тариф, действовавший на момент установления соответствующего соединения электросвязи, оказания услуги электросвязи.</w:t>
      </w:r>
    </w:p>
    <w:p w:rsidR="007B4F32" w:rsidRDefault="007B4F32">
      <w:pPr>
        <w:pStyle w:val="point"/>
      </w:pPr>
      <w:r>
        <w:t>45. Оплата услуг электросвязи может производиться абонентом в виде авансового платежа, отложенного платежа либо сочетанием указанных видов платежей.</w:t>
      </w:r>
    </w:p>
    <w:p w:rsidR="007B4F32" w:rsidRDefault="007B4F32">
      <w:pPr>
        <w:pStyle w:val="newncpi"/>
      </w:pPr>
      <w:r>
        <w:t>При авансовой системе расчетов абонент вносит денежные суммы на свой лицевой счет и (или) текущий (расчетный) банковский счет оператора электросвязи, поставщика услуг электросвязи. Сумма авансового платежа при заключении договора определяется оператором электросвязи, поставщиком услуг электросвязи. Суммы последующих авансовых платежей определяются абонентом.</w:t>
      </w:r>
    </w:p>
    <w:p w:rsidR="007B4F32" w:rsidRDefault="007B4F32">
      <w:pPr>
        <w:pStyle w:val="newncpi"/>
      </w:pPr>
      <w:r>
        <w:lastRenderedPageBreak/>
        <w:t>При оплате услуг электросвязи в виде отложенного платежа оказанные услуги электросвязи оплачиваются как по окончании расчетного периода, так и в течение его. Оператор электросвязи, поставщик услуг электросвязи самостоятельно устанавливают объем оказанных услуг электросвязи при оплате в виде отложенного платежа, после исчерпания средств которого они имеют право приостановить оказание услуг электросвязи.</w:t>
      </w:r>
    </w:p>
    <w:p w:rsidR="007B4F32" w:rsidRDefault="007B4F32">
      <w:pPr>
        <w:pStyle w:val="point"/>
      </w:pPr>
      <w:r>
        <w:t>46. При неоплате абонентом одной из услуг электросвязи оператор электросвязи, поставщик услуг электросвязи вправе погасить задолженность по данной услуге электросвязи путем списания положительного остатка денежных средств с других лицевых счетов услуг электросвязи, оказываемых оператором электросвязи, поставщиком услуг электросвязи данному абоненту, с обязательным предоставлением абоненту информации о данном списании.</w:t>
      </w:r>
    </w:p>
    <w:p w:rsidR="007B4F32" w:rsidRDefault="007B4F32">
      <w:pPr>
        <w:pStyle w:val="point"/>
      </w:pPr>
      <w:r>
        <w:t>47. Основанием для начисления платы за оказанные услуги электросвязи являются данные, полученные посредством оборудования учета объема оказанных услуг электросвязи оператора электросвязи, поставщика услуг электросвязи.</w:t>
      </w:r>
    </w:p>
    <w:p w:rsidR="007B4F32" w:rsidRDefault="007B4F32">
      <w:pPr>
        <w:pStyle w:val="newncpi"/>
      </w:pPr>
      <w:r>
        <w:t>Объем оказанных услуг электросвязи, используемый для расчета размера платы, определяется:</w:t>
      </w:r>
    </w:p>
    <w:p w:rsidR="007B4F32" w:rsidRDefault="007B4F32">
      <w:pPr>
        <w:pStyle w:val="newncpi"/>
      </w:pPr>
      <w:r>
        <w:t>с момента ответа любого лица или сигнала оконечного абонентского устройства (терминала), который приравнивается к ответу вызываемого лица, до подачи вызывающим или вызываемым лицом либо оконечным абонентским устройством (терминалом) сигнала об окончании соединения;</w:t>
      </w:r>
    </w:p>
    <w:p w:rsidR="007B4F32" w:rsidRDefault="007B4F32">
      <w:pPr>
        <w:pStyle w:val="newncpi"/>
      </w:pPr>
      <w:r>
        <w:t>по факту заказа услуги пользователем услуг электросвязи путем совершения действий, предусмотренных пунктом 3 статьи 408 Гражданского кодекса Республики Беларусь.</w:t>
      </w:r>
    </w:p>
    <w:p w:rsidR="007B4F32" w:rsidRDefault="007B4F32">
      <w:pPr>
        <w:pStyle w:val="newncpi"/>
      </w:pPr>
      <w:r>
        <w:t>К оконечному абонентскому устройству (терминалу), сигнал которого приравнивается к ответу вызываемого лица и служит началом отсчета продолжительности соединения электросвязи, относятся:</w:t>
      </w:r>
    </w:p>
    <w:p w:rsidR="007B4F32" w:rsidRDefault="007B4F32">
      <w:pPr>
        <w:pStyle w:val="newncpi"/>
      </w:pPr>
      <w:r>
        <w:t>факсимильный аппарат;</w:t>
      </w:r>
    </w:p>
    <w:p w:rsidR="007B4F32" w:rsidRDefault="007B4F32">
      <w:pPr>
        <w:pStyle w:val="newncpi"/>
      </w:pPr>
      <w:r>
        <w:t>оконечное абонентское устройство (терминал), оборудованное автоответчиком;</w:t>
      </w:r>
    </w:p>
    <w:p w:rsidR="007B4F32" w:rsidRDefault="007B4F32">
      <w:pPr>
        <w:pStyle w:val="newncpi"/>
      </w:pPr>
      <w:r>
        <w:t>оконечное абонентское устройство (терминал) с функцией автоматического определения номера;</w:t>
      </w:r>
    </w:p>
    <w:p w:rsidR="007B4F32" w:rsidRDefault="007B4F32">
      <w:pPr>
        <w:pStyle w:val="newncpi"/>
      </w:pPr>
      <w:r>
        <w:t>иные оконечные абонентские устройства (терминалы), заменяющие абонента в его отсутствие и обеспечивающие обмен информацией.</w:t>
      </w:r>
    </w:p>
    <w:p w:rsidR="007B4F32" w:rsidRDefault="007B4F32">
      <w:pPr>
        <w:pStyle w:val="newncpi"/>
      </w:pPr>
      <w:r>
        <w:t>При совершении звонков на абонентские номера справочно-информационных служб и службы технической поддержки операторов электросвязи информация о стоимости оказания услуг электросвязи, если она отличается от стоимости, установленной для телефонного соединения в договоре между абонентом и оператором электросвязи, доводится до абонента в нетарифицируемый отрезок времени.</w:t>
      </w:r>
    </w:p>
    <w:p w:rsidR="007B4F32" w:rsidRDefault="007B4F32">
      <w:pPr>
        <w:pStyle w:val="newncpi"/>
      </w:pPr>
      <w:r>
        <w:t>При оказании услуг сотовой подвижной электросвязи на территории Республики Беларусь информация о включенной у вызываемого абонента сотовой подвижной электросвязи услуги «Голосовая почта» должна быть доведена до абонента, осуществляющего исходящий вызов, в нетарифицируемый отрезок времени.</w:t>
      </w:r>
    </w:p>
    <w:p w:rsidR="007B4F32" w:rsidRDefault="007B4F32">
      <w:pPr>
        <w:pStyle w:val="point"/>
      </w:pPr>
      <w:r>
        <w:t>48. Расчеты за услуги электросвязи на территории Республики Беларусь осуществляются в белорусских рублях.</w:t>
      </w:r>
    </w:p>
    <w:p w:rsidR="007B4F32" w:rsidRDefault="007B4F32">
      <w:pPr>
        <w:pStyle w:val="newncpi"/>
      </w:pPr>
      <w:r>
        <w:t>В качестве средства оплаты услуг электросвязи могут выступать предварительно оплаченные карты доступа или иные платежные средства.</w:t>
      </w:r>
    </w:p>
    <w:p w:rsidR="007B4F32" w:rsidRDefault="007B4F32">
      <w:pPr>
        <w:pStyle w:val="point"/>
      </w:pPr>
      <w:r>
        <w:t>49. Информация об оказанных услугах электросвязи, включая абонентский номер вызываемого абонента, предоставляется абоненту или его представителю по его запросу оператором электросвязи, поставщиком услуг электросвязи при предъявлении документа, удостоверяющего личность, либо способом, позволяющим достоверно идентифицировать личность абонента или его представителя. Порядок и условия предоставления такой информации определяются оператором электросвязи, поставщиком услуг электросвязи.</w:t>
      </w:r>
    </w:p>
    <w:p w:rsidR="007B4F32" w:rsidRDefault="007B4F32">
      <w:pPr>
        <w:pStyle w:val="newncpi"/>
      </w:pPr>
      <w:r>
        <w:lastRenderedPageBreak/>
        <w:t>Срок хранения оператором электросвязи, поставщиком услуг электросвязи информации об оказанных услугах электросвязи и оплаченных счетах составляет 5 лет.</w:t>
      </w:r>
    </w:p>
    <w:p w:rsidR="007B4F32" w:rsidRDefault="007B4F32">
      <w:pPr>
        <w:pStyle w:val="chapter"/>
      </w:pPr>
      <w:r>
        <w:t>ГЛАВА 8</w:t>
      </w:r>
      <w:r>
        <w:br/>
        <w:t>ОСОБЕННОСТИ ОКАЗАНИЯ УСЛУГ СТАЦИОНАРНОЙ ЭЛЕКТРОСВЯЗИ С ВЫДЕЛЕНИЕМ АБОНЕНТСКОГО НОМЕРА</w:t>
      </w:r>
    </w:p>
    <w:p w:rsidR="007B4F32" w:rsidRDefault="007B4F32">
      <w:pPr>
        <w:pStyle w:val="point"/>
      </w:pPr>
      <w:r>
        <w:t>50. Для получения услуг стационарной электросвязи с выделением абонентского номера заинтересованным лицом подается заявление оператору электросвязи. Поданное заявление регистрируется оператором электросвязи.</w:t>
      </w:r>
    </w:p>
    <w:p w:rsidR="007B4F32" w:rsidRDefault="007B4F32">
      <w:pPr>
        <w:pStyle w:val="newncpi"/>
      </w:pPr>
      <w:r>
        <w:t>Заявление об оказании услуг стационарной электросвязи с выделением абонентского номера снимается с регистрации, если заявитель без уважительной причины в течение 30 календарных дней с даты получения от оператора электросвязи уведомления (письменного извещения с уведомлением о вручении, СМС-сообщения, телефонного соединения с осуществлением записи разговора или другого способа уведомления, согласованного с заявителем в момент подачи заявления) о готовности заключения договора не обратился к оператору электросвязи для его заключения.</w:t>
      </w:r>
    </w:p>
    <w:p w:rsidR="007B4F32" w:rsidRDefault="007B4F32">
      <w:pPr>
        <w:pStyle w:val="point"/>
      </w:pPr>
      <w:r>
        <w:t>51. Договор об оказании услуг стационарной электросвязи с выделением абонентского номера должен вступать в силу не ранее даты оказания оператором электросвязи абоненту услуги по предоставлению доступа к сети стационарной электросвязи с использованием оконечного абонентского устройства (терминала), если такая услуга ранее абоненту не оказывалась.</w:t>
      </w:r>
    </w:p>
    <w:p w:rsidR="007B4F32" w:rsidRDefault="007B4F32">
      <w:pPr>
        <w:pStyle w:val="point"/>
      </w:pPr>
      <w:r>
        <w:t>52. Действие договора об оказании услуг стационарной электросвязи с выделением абонентского номера прекращается и заключается новый договор в порядке, установленном настоящими Правилами:</w:t>
      </w:r>
    </w:p>
    <w:p w:rsidR="007B4F32" w:rsidRDefault="007B4F32">
      <w:pPr>
        <w:pStyle w:val="newncpi"/>
      </w:pPr>
      <w:r>
        <w:t>при обращении абонента с заявлением о предоставлении права пользования абонентским номером одному из членов его семьи;</w:t>
      </w:r>
    </w:p>
    <w:p w:rsidR="007B4F32" w:rsidRDefault="007B4F32">
      <w:pPr>
        <w:pStyle w:val="newncpi"/>
      </w:pPr>
      <w:r>
        <w:t>при обращении наследника с заявлением о заключении договора при наследовании квартиры (одноквартирного жилого дома, помещения), в которой установлено оконечное абонентское устройство (терминал), приобретении ее по договору дарения, купли-продажи, мены, ренты или пожизненного содержания с иждивением;</w:t>
      </w:r>
    </w:p>
    <w:p w:rsidR="007B4F32" w:rsidRDefault="007B4F32">
      <w:pPr>
        <w:pStyle w:val="newncpi"/>
      </w:pPr>
      <w:r>
        <w:t>при обращении правопреемника юридического лица, прекратившего деятельность в результате реорганизации, с которым был заключен данный договор;</w:t>
      </w:r>
    </w:p>
    <w:p w:rsidR="007B4F32" w:rsidRDefault="007B4F32">
      <w:pPr>
        <w:pStyle w:val="newncpi"/>
      </w:pPr>
      <w:r>
        <w:t>при обращении арендатора (нанимателя) с заявлением о заключении договора в случае аренды (найма) жилого помещения, в том числе одноквартирного жилого дома, в котором установлено оконечное абонентское устройство (терминал), на время действия договора аренды (найма) при согласии абонента, с которым заключен договор, действие которого прекращается.</w:t>
      </w:r>
    </w:p>
    <w:p w:rsidR="007B4F32" w:rsidRDefault="007B4F32">
      <w:pPr>
        <w:pStyle w:val="point"/>
      </w:pPr>
      <w:r>
        <w:t>53. В договор об оказании услуг стационарной электросвязи с выделением абонентского номера вносятся изменения при обращении абонента с заявлением в случае изменения фамилии, собственного имени, отчества (если таковое имеется), места жительства физического лица и индивидуального предпринимателя, текущего (расчетного) банковского счета индивидуального предпринимателя (при его наличии), полного наименования, места нахождения, текущего (расчетного) банковского счета юридического лица.</w:t>
      </w:r>
    </w:p>
    <w:p w:rsidR="007B4F32" w:rsidRDefault="007B4F32">
      <w:pPr>
        <w:pStyle w:val="point"/>
      </w:pPr>
      <w:r>
        <w:t>54. Действие договора об оказании услуг стационарной электросвязи с выделением абонентского номера прекращается при:</w:t>
      </w:r>
    </w:p>
    <w:p w:rsidR="007B4F32" w:rsidRDefault="007B4F32">
      <w:pPr>
        <w:pStyle w:val="newncpi"/>
      </w:pPr>
      <w:r>
        <w:t>обращении абонента с соответствующим заявлением;</w:t>
      </w:r>
    </w:p>
    <w:p w:rsidR="007B4F32" w:rsidRDefault="007B4F32">
      <w:pPr>
        <w:pStyle w:val="newncpi"/>
      </w:pPr>
      <w:r>
        <w:t>смерти физического лица;</w:t>
      </w:r>
    </w:p>
    <w:p w:rsidR="007B4F32" w:rsidRDefault="007B4F32">
      <w:pPr>
        <w:pStyle w:val="newncpi"/>
      </w:pPr>
      <w:r>
        <w:t>прекращении деятельности юридического лица в результате реорганизации;</w:t>
      </w:r>
    </w:p>
    <w:p w:rsidR="007B4F32" w:rsidRDefault="007B4F32">
      <w:pPr>
        <w:pStyle w:val="newncpi"/>
      </w:pPr>
      <w:r>
        <w:t>исключении юридического лица, индивидуального предпринимателя из Единого государственного регистра юридических лиц и индивидуальных предпринимателей;</w:t>
      </w:r>
    </w:p>
    <w:p w:rsidR="007B4F32" w:rsidRDefault="007B4F32">
      <w:pPr>
        <w:pStyle w:val="newncpi"/>
      </w:pPr>
      <w:r>
        <w:lastRenderedPageBreak/>
        <w:t>обращении абонента с заявлением об утрате права собственности, владения или пользования помещением, в котором установлено оконечное абонентское устройство (терминал);</w:t>
      </w:r>
    </w:p>
    <w:p w:rsidR="007B4F32" w:rsidRDefault="007B4F32">
      <w:pPr>
        <w:pStyle w:val="newncpi"/>
      </w:pPr>
      <w:r>
        <w:t>наличии у абонента непогашенной задолженности по оплате услуг электросвязи в течение 30 календарных дней после даты полного прекращения оказания услуг электросвязи.</w:t>
      </w:r>
    </w:p>
    <w:p w:rsidR="007B4F32" w:rsidRDefault="007B4F32">
      <w:pPr>
        <w:pStyle w:val="newncpi"/>
      </w:pPr>
      <w:r>
        <w:t>Действие договора об оказании услуг стационарной электросвязи с выделением абонентского номера может быть прекращено оператором электросвязи в одностороннем порядке в случае неисполнения абонентом своих обязанностей, предусмотренных договором и настоящими Правилами.</w:t>
      </w:r>
    </w:p>
    <w:p w:rsidR="007B4F32" w:rsidRDefault="007B4F32">
      <w:pPr>
        <w:pStyle w:val="point"/>
      </w:pPr>
      <w:r>
        <w:t>55. При выезде из квартиры (одноквартирного жилого дома, помещения) одного из бывших супругов вместе с несовершеннолетним ребенком первоочередное право на сохранение абонентского номера, в том числе перенос по новому месту регистрации при наличии технической возможности, имеет бывший супруг, выезжающий с несовершеннолетним ребенком, по его заявлению.</w:t>
      </w:r>
    </w:p>
    <w:p w:rsidR="007B4F32" w:rsidRDefault="007B4F32">
      <w:pPr>
        <w:pStyle w:val="newncpi"/>
      </w:pPr>
      <w:r>
        <w:t>В случае выезда из квартиры (одноквартирного жилого дома, помещения) каждого из бывших супругов вместе с несовершеннолетними детьми абонентский номер при наличии технической возможности переносится по месту регистрации бывшего супруга, с которым был заключен договор об оказании услуг стационарной электросвязи с выделением абонентского номера.</w:t>
      </w:r>
    </w:p>
    <w:p w:rsidR="007B4F32" w:rsidRDefault="007B4F32">
      <w:pPr>
        <w:pStyle w:val="newncpi"/>
      </w:pPr>
      <w:r>
        <w:t>В случае выезда из квартиры (одноквартирного жилого дома, помещения) одного из бывших супругов абонентский номер оформляется на бывшего супруга, остающегося проживать в квартире (одноквартирном жилом доме), по его заявлению.</w:t>
      </w:r>
    </w:p>
    <w:p w:rsidR="007B4F32" w:rsidRDefault="007B4F32">
      <w:pPr>
        <w:pStyle w:val="point"/>
      </w:pPr>
      <w:r>
        <w:t>56. В случае реконструкции и технического переоснащения объектов электросвязи оператором электросвязи может производиться замена ранее выделенных абонентских номеров без согласия абонентов. Причина замены абонентского номера, новый абонентский номер и дата замены сообщаются абоненту не позднее чем за 30 календарных дней до даты замены абонентского номера. В случае необеспечения абонентом в течение указанных 30 календарных дней доступа к оконечному абонентскому устройству (терминалу) сети стационарной электросвязи оператор электросвязи имеет право в одностороннем порядке расторгнуть договор об оказании услуг стационарной электросвязи с выделением абонентского номера.</w:t>
      </w:r>
    </w:p>
    <w:p w:rsidR="007B4F32" w:rsidRDefault="007B4F32">
      <w:pPr>
        <w:pStyle w:val="chapter"/>
      </w:pPr>
      <w:r>
        <w:t>ГЛАВА 9</w:t>
      </w:r>
      <w:r>
        <w:br/>
        <w:t>ПОРЯДОК ОКАЗАНИЯ УСЛУГИ ПЕРЕНОСИМОСТИ АБОНЕНТСКОГО НОМЕРА (НОМЕРОВ) СЕТИ СОТОВОЙ ПОДВИЖНОЙ ЭЛЕКТРОСВЯЗИ</w:t>
      </w:r>
    </w:p>
    <w:p w:rsidR="007B4F32" w:rsidRDefault="007B4F32">
      <w:pPr>
        <w:pStyle w:val="point"/>
      </w:pPr>
      <w:r>
        <w:t>57. При переходе абонента от оператора-донора к оператору-реципиенту, между которыми заключен договор о взаимодействии сетей электросвязи, для обеспечения возможности сохранения выделенного абонентского номера (номеров) абонент подает оператору-реципиенту заявление на оказание услуг сотовой подвижной электросвязи и услуги переносимости абонентского номера (номеров) сети сотовой подвижной электросвязи, а также представляет документы, необходимые для заключения договора.</w:t>
      </w:r>
    </w:p>
    <w:p w:rsidR="007B4F32" w:rsidRDefault="007B4F32">
      <w:pPr>
        <w:pStyle w:val="newncpi"/>
      </w:pPr>
      <w:r>
        <w:t>При отсутствии у абонента неисполненных обязательств перед оператором-донором в случае обращения абонента к оператору-реципиенту с заявлением о переносе номера до 14.00 текущих суток номер должен быть перенесен до истечения этих суток, в случае обращения после 14.00 текущих суток срок обработки заявления оператором-донором не должен превышать 24 часов с момента подачи абонентом оператору-реципиенту такого заявления.</w:t>
      </w:r>
    </w:p>
    <w:p w:rsidR="007B4F32" w:rsidRDefault="007B4F32">
      <w:pPr>
        <w:pStyle w:val="newncpi"/>
      </w:pPr>
      <w:r>
        <w:t xml:space="preserve">На основании указанного заявления абонента в базе данных переносимых номеров оператором-реципиентом оформляется запрос на перенос абонентского номера (номеров) сети сотовой подвижной электросвязи. При отсутствии у абонента неисполненных обязательств перед оператором-донором оператор-донор посредством базы данных </w:t>
      </w:r>
      <w:r>
        <w:lastRenderedPageBreak/>
        <w:t>переносимых номеров отправляет оператору-реципиенту подтверждение возможности переноса абонентского номера (номеров), после чего оказание услуг электросвязи оператором-донором по данному абонентскому номеру (номерам) приостанавливается.</w:t>
      </w:r>
    </w:p>
    <w:p w:rsidR="007B4F32" w:rsidRDefault="007B4F32">
      <w:pPr>
        <w:pStyle w:val="newncpi"/>
      </w:pPr>
      <w:r>
        <w:t>Подача абонентом оператору-реципиенту заявления на оказание услуг сотовой подвижной электросвязи и услуги переносимости абонентского номера (номеров) сети сотовой подвижной электросвязи влечет за собой расторжение договора с оператором-донором. Такой договор с оператором-донором считается расторгнутым с момента получения оператором-реципиентом подтверждения возможности переноса абонентского номера (номеров) из базы данных переносимых номеров.</w:t>
      </w:r>
    </w:p>
    <w:p w:rsidR="007B4F32" w:rsidRDefault="007B4F32">
      <w:pPr>
        <w:pStyle w:val="point"/>
      </w:pPr>
      <w:r>
        <w:t>58. Если ранее перенесенный абонентом в сеть оператора-реципиента абонентский номер не относится к диапазону нумерации оператора-реципиента и договор с оператором-реципиентом в отношении такого номера прекратился, то абонентский номер в течение семи календарных дней возвращается оператору сотовой подвижной электросвязи, которому выделен данный абонентский номер.</w:t>
      </w:r>
    </w:p>
    <w:p w:rsidR="007B4F32" w:rsidRDefault="007B4F32">
      <w:pPr>
        <w:pStyle w:val="point"/>
      </w:pPr>
      <w:r>
        <w:t>59. Абонент имеет право вновь воспользоваться услугой переносимости абонентского номера (номеров) сети сотовой подвижной электросвязи не ранее чем через 90 календарных дней с последней даты оказания данной услуги.</w:t>
      </w:r>
    </w:p>
    <w:p w:rsidR="007B4F32" w:rsidRDefault="007B4F32">
      <w:pPr>
        <w:pStyle w:val="point"/>
      </w:pPr>
      <w:r>
        <w:t>60. Оператор электросвязи звуковым сигналом или голосовым сообщением информирует абонента сети сотовой подвижной электросвязи об осуществлении исходящего вызова на перенесенный в сеть другого оператора абонентский номер.</w:t>
      </w:r>
    </w:p>
    <w:p w:rsidR="007B4F32" w:rsidRDefault="007B4F32">
      <w:pPr>
        <w:pStyle w:val="chapter"/>
      </w:pPr>
      <w:r>
        <w:t>ГЛАВА 10</w:t>
      </w:r>
      <w:r>
        <w:br/>
        <w:t>ОСОБЕННОСТИ ОКАЗАНИЯ УСЛУГ ТЕЛЕГРАФНОЙ СВЯЗИ</w:t>
      </w:r>
    </w:p>
    <w:p w:rsidR="007B4F32" w:rsidRDefault="007B4F32">
      <w:pPr>
        <w:pStyle w:val="point"/>
      </w:pPr>
      <w:r>
        <w:t>61. Организации, оказывающие услуги по передаче телеграмм, обязаны предоставлять пользователю услуг электросвязи необходимую информацию об оказываемых услугах телеграфной связи, тарифах на эти услуги, сроках доставки телеграмм.</w:t>
      </w:r>
    </w:p>
    <w:p w:rsidR="007B4F32" w:rsidRDefault="007B4F32">
      <w:pPr>
        <w:pStyle w:val="newncpi"/>
      </w:pPr>
      <w:r>
        <w:t>Доставка телеграмм адресатам осуществляется организациями, оказывающими услуги по передаче телеграмм.</w:t>
      </w:r>
    </w:p>
    <w:p w:rsidR="007B4F32" w:rsidRDefault="007B4F32">
      <w:pPr>
        <w:pStyle w:val="point"/>
      </w:pPr>
      <w:r>
        <w:t>62. Пользователям услуг электросвязи могут быть оказаны следующие услуги телеграфной связи:</w:t>
      </w:r>
    </w:p>
    <w:p w:rsidR="007B4F32" w:rsidRDefault="007B4F32">
      <w:pPr>
        <w:pStyle w:val="newncpi"/>
      </w:pPr>
      <w:r>
        <w:t>передача телеграмм;</w:t>
      </w:r>
    </w:p>
    <w:p w:rsidR="007B4F32" w:rsidRDefault="007B4F32">
      <w:pPr>
        <w:pStyle w:val="newncpi"/>
      </w:pPr>
      <w:r>
        <w:t>абонентское телеграфирование и телекс (АТ-Телекс);</w:t>
      </w:r>
    </w:p>
    <w:p w:rsidR="007B4F32" w:rsidRDefault="007B4F32">
      <w:pPr>
        <w:pStyle w:val="newncpi"/>
      </w:pPr>
      <w:r>
        <w:t>предоставление в пользование телеграфных каналов.</w:t>
      </w:r>
    </w:p>
    <w:p w:rsidR="007B4F32" w:rsidRDefault="007B4F32">
      <w:pPr>
        <w:pStyle w:val="newncpi"/>
      </w:pPr>
      <w:r>
        <w:t>Услуги по предоставлению в пользование телеграфных каналов и АТ-Телекс оказываются юридическим лицам на основании соответствующего договора.</w:t>
      </w:r>
    </w:p>
    <w:p w:rsidR="007B4F32" w:rsidRDefault="007B4F32">
      <w:pPr>
        <w:pStyle w:val="point"/>
      </w:pPr>
      <w:r>
        <w:t>63. Телеграммы могут быть адресованы:</w:t>
      </w:r>
    </w:p>
    <w:p w:rsidR="007B4F32" w:rsidRDefault="007B4F32">
      <w:pPr>
        <w:pStyle w:val="newncpi"/>
      </w:pPr>
      <w:r>
        <w:t>на адрес доставки;</w:t>
      </w:r>
    </w:p>
    <w:p w:rsidR="007B4F32" w:rsidRDefault="007B4F32">
      <w:pPr>
        <w:pStyle w:val="newncpi"/>
      </w:pPr>
      <w:r>
        <w:t>«до востребования»;</w:t>
      </w:r>
    </w:p>
    <w:p w:rsidR="007B4F32" w:rsidRDefault="007B4F32">
      <w:pPr>
        <w:pStyle w:val="newncpi"/>
      </w:pPr>
      <w:r>
        <w:t>на абонементный почтовый ящик;</w:t>
      </w:r>
    </w:p>
    <w:p w:rsidR="007B4F32" w:rsidRDefault="007B4F32">
      <w:pPr>
        <w:pStyle w:val="newncpi"/>
      </w:pPr>
      <w:r>
        <w:t>на номер воинской части;</w:t>
      </w:r>
    </w:p>
    <w:p w:rsidR="007B4F32" w:rsidRDefault="007B4F32">
      <w:pPr>
        <w:pStyle w:val="newncpi"/>
      </w:pPr>
      <w:r>
        <w:t>на номер полученной телеграммы;</w:t>
      </w:r>
    </w:p>
    <w:p w:rsidR="007B4F32" w:rsidRDefault="007B4F32">
      <w:pPr>
        <w:pStyle w:val="newncpi"/>
      </w:pPr>
      <w:r>
        <w:t>в адрес морского судна.</w:t>
      </w:r>
    </w:p>
    <w:p w:rsidR="007B4F32" w:rsidRDefault="007B4F32">
      <w:pPr>
        <w:pStyle w:val="point"/>
      </w:pPr>
      <w:r>
        <w:t>64. Телеграммы, адресованные на адрес доставки, должны содержать:</w:t>
      </w:r>
    </w:p>
    <w:p w:rsidR="007B4F32" w:rsidRDefault="007B4F32">
      <w:pPr>
        <w:pStyle w:val="newncpi"/>
      </w:pPr>
      <w:r>
        <w:t>отметку о категории телеграммы;</w:t>
      </w:r>
    </w:p>
    <w:p w:rsidR="007B4F32" w:rsidRDefault="007B4F32">
      <w:pPr>
        <w:pStyle w:val="newncpi"/>
      </w:pPr>
      <w:r>
        <w:t>отметку о виде телеграммы;</w:t>
      </w:r>
    </w:p>
    <w:p w:rsidR="007B4F32" w:rsidRDefault="007B4F32">
      <w:pPr>
        <w:pStyle w:val="newncpi"/>
      </w:pPr>
      <w:r>
        <w:t>подробные адресные данные, обеспечивающие доставку телеграммы без розыска адресата и наведения справок. По желанию отправителя в адресе доставки телеграммы могут быть указаны номер телефона адресата, текст телеграммы, подпись отправителя (по желанию отправителя).</w:t>
      </w:r>
    </w:p>
    <w:p w:rsidR="007B4F32" w:rsidRDefault="007B4F32">
      <w:pPr>
        <w:pStyle w:val="point"/>
      </w:pPr>
      <w:r>
        <w:t xml:space="preserve">65. Телеграммы «до востребования» принимаются с указанием почтового кода (индекса) и названия населенного пункта (в случае необходимости – наименования </w:t>
      </w:r>
      <w:r>
        <w:lastRenderedPageBreak/>
        <w:t>области, района), в котором расположен объект почтовой связи, фамилии, собственного имени, отчества (если таковое имеется) адресата и вручаются адресату при предъявлении документа, удостоверяющего личность.</w:t>
      </w:r>
    </w:p>
    <w:p w:rsidR="007B4F32" w:rsidRDefault="007B4F32">
      <w:pPr>
        <w:pStyle w:val="newncpi"/>
      </w:pPr>
      <w:r>
        <w:t>Телеграммы «до востребования» принимаются только в адрес физических лиц.</w:t>
      </w:r>
    </w:p>
    <w:p w:rsidR="007B4F32" w:rsidRDefault="007B4F32">
      <w:pPr>
        <w:pStyle w:val="point"/>
      </w:pPr>
      <w:r>
        <w:t>66. В телеграммах, адресованных на абонементный почтовый ящик, должны указываться почтовый код (индекс) и название населенного пункта (в случае необходимости – наименование области, района), в котором расположен объект почтовой связи, где находится абонементный почтовый ящик, номер абонементного почтового ящика, фамилия, собственное имя, отчество (если таковое имеется) физического лица или полное наименование юридического лица.</w:t>
      </w:r>
    </w:p>
    <w:p w:rsidR="007B4F32" w:rsidRDefault="007B4F32">
      <w:pPr>
        <w:pStyle w:val="point"/>
      </w:pPr>
      <w:r>
        <w:t>67. При приеме телеграмм в адрес воинских частей должны быть указаны название населенного пункта (в случае необходимости – наименование области, района) и почтовый код (индекс) объекта почтовой связи (или наименование объекта почтовой связи с указанием наименования области, района), обслуживающего воинскую часть, номер воинской части (в случае необходимости – номер (номера) воинского подразделения воинской части), должность и (или) фамилия, собственное имя, отчество (если таковое имеется) адресата.</w:t>
      </w:r>
    </w:p>
    <w:p w:rsidR="007B4F32" w:rsidRDefault="007B4F32">
      <w:pPr>
        <w:pStyle w:val="newncpi"/>
      </w:pPr>
      <w:r>
        <w:t>Не принимаются в адрес воинских частей телеграммы:</w:t>
      </w:r>
    </w:p>
    <w:p w:rsidR="007B4F32" w:rsidRDefault="007B4F32">
      <w:pPr>
        <w:pStyle w:val="newncpi"/>
      </w:pPr>
      <w:r>
        <w:t>без указания объекта почтовой связи;</w:t>
      </w:r>
    </w:p>
    <w:p w:rsidR="007B4F32" w:rsidRDefault="007B4F32">
      <w:pPr>
        <w:pStyle w:val="newncpi"/>
      </w:pPr>
      <w:r>
        <w:t>«до востребования».</w:t>
      </w:r>
    </w:p>
    <w:p w:rsidR="007B4F32" w:rsidRDefault="007B4F32">
      <w:pPr>
        <w:pStyle w:val="point"/>
      </w:pPr>
      <w:r>
        <w:t>68. Если адресату необходимо дать ответ отправителю, но он не знает его почтового адреса, допускается прием телеграммы с указанием в ней вместо почтового адреса отправителя номера и даты полученной им телеграммы. При этом адресат телеграммы должен быть предупрежден, что если в пункте приема полученной им телеграммы отправитель не указал своего почтового адреса, телеграмма ему может быть не доставлена.</w:t>
      </w:r>
    </w:p>
    <w:p w:rsidR="007B4F32" w:rsidRDefault="007B4F32">
      <w:pPr>
        <w:pStyle w:val="point"/>
      </w:pPr>
      <w:r>
        <w:t>69. В телеграммах, предназначенных для передачи в адрес морских судов, в адресной части должны быть указаны место нахождения береговой станции (пункта назначения), почтовый код (индекс) (или наименование) объекта почтовой связи, наименование пароходства, наименование судна, должность, фамилия, собственное имя и отчество (если таковое имеется) адресата – члена экипажа судна или фамилия, собственное имя, отчество (если таковое имеется) адресата-пассажира.</w:t>
      </w:r>
    </w:p>
    <w:p w:rsidR="007B4F32" w:rsidRDefault="007B4F32">
      <w:pPr>
        <w:pStyle w:val="newncpi"/>
      </w:pPr>
      <w:r>
        <w:t>Не принимаются в адрес морских судов телеграммы «до востребования».</w:t>
      </w:r>
    </w:p>
    <w:p w:rsidR="007B4F32" w:rsidRDefault="007B4F32">
      <w:pPr>
        <w:pStyle w:val="point"/>
      </w:pPr>
      <w:r>
        <w:t>70. Телеграммы от физических лиц в адрес республиканских органов государственного управления и иных организаций, подчиненных Правительству Республики Беларусь, областных исполнительных комитетов и Минского городского исполнительного комитета принимаются с указанием в телеграмме фамилии, собственного имени и отчества (если таковое имеется) отправителя, адреса его места жительства (места пребывания).</w:t>
      </w:r>
    </w:p>
    <w:p w:rsidR="007B4F32" w:rsidRDefault="007B4F32">
      <w:pPr>
        <w:pStyle w:val="point"/>
      </w:pPr>
      <w:r>
        <w:t>71. Во внутренних и международных телеграммах в страны Содружества Независимых Государств оплате подлежат все слова, образующие их содержание.</w:t>
      </w:r>
    </w:p>
    <w:p w:rsidR="007B4F32" w:rsidRDefault="007B4F32">
      <w:pPr>
        <w:pStyle w:val="newncpi"/>
      </w:pPr>
      <w:r>
        <w:t>В количество слов включаются отметки о категории и виде (видах) телеграмм, название страны (для международных телеграмм), адресные данные адресата, текст и подпись отправителя.</w:t>
      </w:r>
    </w:p>
    <w:p w:rsidR="007B4F32" w:rsidRDefault="007B4F32">
      <w:pPr>
        <w:pStyle w:val="newncpi"/>
      </w:pPr>
      <w:r>
        <w:t>За одно слово в такой телеграмме считается:</w:t>
      </w:r>
    </w:p>
    <w:p w:rsidR="007B4F32" w:rsidRDefault="007B4F32">
      <w:pPr>
        <w:pStyle w:val="newncpi"/>
      </w:pPr>
      <w:r>
        <w:t>слово, написанное в соответствии с правилами орфографии;</w:t>
      </w:r>
    </w:p>
    <w:p w:rsidR="007B4F32" w:rsidRDefault="007B4F32">
      <w:pPr>
        <w:pStyle w:val="newncpi"/>
      </w:pPr>
      <w:r>
        <w:t>отдельно стоящие знак, буква или цифра;</w:t>
      </w:r>
    </w:p>
    <w:p w:rsidR="007B4F32" w:rsidRDefault="007B4F32">
      <w:pPr>
        <w:pStyle w:val="newncpi"/>
      </w:pPr>
      <w:r>
        <w:t>группа, состоящая из букв и цифр, или смешанная группа, состоящая из комбинаций букв, знаков, цифр, перед которой и после которой имеется пробел или тире;</w:t>
      </w:r>
    </w:p>
    <w:p w:rsidR="007B4F32" w:rsidRDefault="007B4F32">
      <w:pPr>
        <w:pStyle w:val="newncpi"/>
      </w:pPr>
      <w:r>
        <w:t>каждая из частей составного слова, а также каждая из частей в составных наименованиях населенных пунктов, фамилиях, именах, соединенных дефисом;</w:t>
      </w:r>
    </w:p>
    <w:p w:rsidR="007B4F32" w:rsidRDefault="007B4F32">
      <w:pPr>
        <w:pStyle w:val="newncpi"/>
      </w:pPr>
      <w:r>
        <w:t>знак, написанный полным или сокращенным словом.</w:t>
      </w:r>
    </w:p>
    <w:p w:rsidR="007B4F32" w:rsidRDefault="007B4F32">
      <w:pPr>
        <w:pStyle w:val="point"/>
      </w:pPr>
      <w:r>
        <w:lastRenderedPageBreak/>
        <w:t>72. В количество слов международных телеграмм в страны дальнего зарубежья, подлежащих оплате, включаются все слова, образующие содержание телеграммы (отметки о категории и виде (видах) телеграммы, название страны, адресные данные адресата, текст, подпись отправителя).</w:t>
      </w:r>
    </w:p>
    <w:p w:rsidR="007B4F32" w:rsidRDefault="007B4F32">
      <w:pPr>
        <w:pStyle w:val="newncpi"/>
      </w:pPr>
      <w:r>
        <w:t>За одно слово в международной телеграмме считается каждое слово, каждая группа, состоящая из букв и цифр, каждая смешанная группа, состоящие из не более 10 букв, знаков, цифр. При наличии в слове или группе более 10 знаков, букв, цифр каждые последующие 10 букв, знаков, цифр и остаток (от 1 до 9 знаков, букв, цифр) считаются отдельным словом.</w:t>
      </w:r>
    </w:p>
    <w:p w:rsidR="007B4F32" w:rsidRDefault="007B4F32">
      <w:pPr>
        <w:pStyle w:val="point"/>
      </w:pPr>
      <w:r>
        <w:t>73. Отправителям могут быть оказаны следующие дополнительные услуги телеграфной связи:</w:t>
      </w:r>
    </w:p>
    <w:p w:rsidR="007B4F32" w:rsidRDefault="007B4F32">
      <w:pPr>
        <w:pStyle w:val="newncpi"/>
      </w:pPr>
      <w:r>
        <w:t>аннулирование поданной телеграммы или внесение изменений до начала передачи телеграммы;</w:t>
      </w:r>
    </w:p>
    <w:p w:rsidR="007B4F32" w:rsidRDefault="007B4F32">
      <w:pPr>
        <w:pStyle w:val="newncpi"/>
      </w:pPr>
      <w:r>
        <w:t>получение заверенной копии телеграммы в течение двух месяцев со дня подачи телеграммы (только с подлинника телеграммы);</w:t>
      </w:r>
    </w:p>
    <w:p w:rsidR="007B4F32" w:rsidRDefault="007B4F32">
      <w:pPr>
        <w:pStyle w:val="newncpi"/>
      </w:pPr>
      <w:r>
        <w:t>получение подтверждения о вручении телеграммы адресату в течение двух месяцев со дня ее подачи.</w:t>
      </w:r>
    </w:p>
    <w:p w:rsidR="007B4F32" w:rsidRDefault="007B4F32">
      <w:pPr>
        <w:pStyle w:val="newncpi"/>
      </w:pPr>
      <w:r>
        <w:t>Для оказания услуг, связанных с аннулированием телеграммы, внесением изменений, выдачей копии телеграммы и получением подтверждения о вручении, отправитель должен представить квитанцию о приеме телеграммы и (или) документ, удостоверяющий личность (в случае подачи телеграммы по телефону).</w:t>
      </w:r>
    </w:p>
    <w:p w:rsidR="007B4F32" w:rsidRDefault="007B4F32">
      <w:pPr>
        <w:pStyle w:val="point"/>
      </w:pPr>
      <w:r>
        <w:t>74. Адресатам по письменному заявлению и при предъявлении документа, удостоверяющего личность, может быть оказана дополнительная услуга телеграфной связи – хранение телеграммы «до востребования» в течение двух месяцев вместо установленного месячного срока.</w:t>
      </w:r>
    </w:p>
    <w:p w:rsidR="007B4F32" w:rsidRDefault="007B4F32">
      <w:pPr>
        <w:pStyle w:val="point"/>
      </w:pPr>
      <w:r>
        <w:t>75. В случае необходимости получения ответа в организацию, оказывающую услуги по передаче телеграмм, направляется служебный запрос, оплачиваемый пользователем услуг электросвязи.</w:t>
      </w:r>
    </w:p>
    <w:p w:rsidR="007B4F32" w:rsidRDefault="007B4F32">
      <w:pPr>
        <w:pStyle w:val="point"/>
      </w:pPr>
      <w:r>
        <w:t>76. Срок доставки телеграммы исчисляется от момента приема ее у отправителя до вручения:</w:t>
      </w:r>
    </w:p>
    <w:p w:rsidR="007B4F32" w:rsidRDefault="007B4F32">
      <w:pPr>
        <w:pStyle w:val="newncpi"/>
      </w:pPr>
      <w:r>
        <w:t>адресату (его представителю или совершеннолетнему члену семьи);</w:t>
      </w:r>
    </w:p>
    <w:p w:rsidR="007B4F32" w:rsidRDefault="007B4F32">
      <w:pPr>
        <w:pStyle w:val="newncpi"/>
      </w:pPr>
      <w:r>
        <w:t>уполномоченному лицу (для телеграмм, адресованных в организации и места временного пребывания граждан).</w:t>
      </w:r>
    </w:p>
    <w:p w:rsidR="007B4F32" w:rsidRDefault="007B4F32">
      <w:pPr>
        <w:pStyle w:val="point"/>
      </w:pPr>
      <w:r>
        <w:t>77. Сроки доставки телеграмм и уведомлений о вручении, передаваемых между населенными пунктами Республики Беларусь, составляют:</w:t>
      </w:r>
    </w:p>
    <w:p w:rsidR="007B4F32" w:rsidRDefault="007B4F32">
      <w:pPr>
        <w:pStyle w:val="newncpi"/>
      </w:pPr>
      <w:r>
        <w:t>для г. Минска и областных центров, а также внутри каждого из них – не более 8 часов;</w:t>
      </w:r>
    </w:p>
    <w:p w:rsidR="007B4F32" w:rsidRDefault="007B4F32">
      <w:pPr>
        <w:pStyle w:val="newncpi"/>
      </w:pPr>
      <w:r>
        <w:t>для остальных населенных пунктов – в течение трех рабочих дней.</w:t>
      </w:r>
    </w:p>
    <w:p w:rsidR="007B4F32" w:rsidRDefault="007B4F32">
      <w:pPr>
        <w:pStyle w:val="point"/>
      </w:pPr>
      <w:r>
        <w:t>78. В сроки доставки телеграмм и уведомлений о вручении не включается время, в течение которого в соответствии с установленным режимом работы организаций, оказывающих услуги по передаче телеграмм, прием, передача и (или) доставка телеграмм и уведомлений о вручении не осуществляются, а также время, в течение которого телеграммы (уведомления о вручении) не могут быть доставлены по причинам и обстоятельствам, зависящим от адресата.</w:t>
      </w:r>
    </w:p>
    <w:p w:rsidR="007B4F32" w:rsidRDefault="007B4F32">
      <w:pPr>
        <w:pStyle w:val="point"/>
      </w:pPr>
      <w:r>
        <w:t>79. Сроки доставки международных телеграмм определяются организациями, оказывающими услуги по передаче телеграмм, в стране назначения.</w:t>
      </w:r>
    </w:p>
    <w:p w:rsidR="007B4F32" w:rsidRDefault="007B4F32">
      <w:pPr>
        <w:pStyle w:val="point"/>
      </w:pPr>
      <w:r>
        <w:t>80. Телеграммы доставляются адресату по указанному в телеграмме адресу доставки.</w:t>
      </w:r>
    </w:p>
    <w:p w:rsidR="007B4F32" w:rsidRDefault="007B4F32">
      <w:pPr>
        <w:pStyle w:val="point"/>
      </w:pPr>
      <w:r>
        <w:t>81. Телеграммы доставляются в течение установленного режима работы организаций:</w:t>
      </w:r>
    </w:p>
    <w:p w:rsidR="007B4F32" w:rsidRDefault="007B4F32">
      <w:pPr>
        <w:pStyle w:val="newncpi"/>
      </w:pPr>
      <w:r>
        <w:t>оказывающих услуги по передаче телеграмм;</w:t>
      </w:r>
    </w:p>
    <w:p w:rsidR="007B4F32" w:rsidRDefault="007B4F32">
      <w:pPr>
        <w:pStyle w:val="newncpi"/>
      </w:pPr>
      <w:r>
        <w:t>в чьи адреса данные телеграммы поступили.</w:t>
      </w:r>
    </w:p>
    <w:p w:rsidR="007B4F32" w:rsidRDefault="007B4F32">
      <w:pPr>
        <w:pStyle w:val="point"/>
      </w:pPr>
      <w:r>
        <w:lastRenderedPageBreak/>
        <w:t>82. Телеграмма вручается:</w:t>
      </w:r>
    </w:p>
    <w:p w:rsidR="007B4F32" w:rsidRDefault="007B4F32">
      <w:pPr>
        <w:pStyle w:val="newncpi"/>
      </w:pPr>
      <w:r>
        <w:t>адресату – при предоставлении документа, удостоверяющего его личность;</w:t>
      </w:r>
    </w:p>
    <w:p w:rsidR="007B4F32" w:rsidRDefault="007B4F32">
      <w:pPr>
        <w:pStyle w:val="newncpi"/>
      </w:pPr>
      <w:r>
        <w:t>представителю адресата – при предоставлении документа, удостоверяющего его личность, и документа, подтверждающего его полномочия;</w:t>
      </w:r>
    </w:p>
    <w:p w:rsidR="007B4F32" w:rsidRDefault="007B4F32">
      <w:pPr>
        <w:pStyle w:val="newncpi"/>
      </w:pPr>
      <w:r>
        <w:t>совершеннолетним членам семьи адресата – при предоставлении документа, удостоверяющего личность члена семьи, и документа, подтверждающего родственные отношения.</w:t>
      </w:r>
    </w:p>
    <w:p w:rsidR="007B4F32" w:rsidRDefault="007B4F32">
      <w:pPr>
        <w:pStyle w:val="newncpi"/>
      </w:pPr>
      <w:r>
        <w:t>Телеграмма вручается под роспись с указанием даты и времени вручения. При вручении телеграммы представителю или члену семьи адресата дополнительно указываются фамилия, собственное имя и отчество (если таковое имеется) представителя и кем приходится адресату член семьи.</w:t>
      </w:r>
    </w:p>
    <w:p w:rsidR="007B4F32" w:rsidRDefault="007B4F32">
      <w:pPr>
        <w:pStyle w:val="newncpi"/>
      </w:pPr>
      <w:r>
        <w:t>Телеграммы с одним адресом доставки нескольким лицам вручаются любому из указанных лиц.</w:t>
      </w:r>
    </w:p>
    <w:p w:rsidR="007B4F32" w:rsidRDefault="007B4F32">
      <w:pPr>
        <w:pStyle w:val="newncpi"/>
      </w:pPr>
      <w:r>
        <w:t>Телеграммы «до востребования» и адресованные на абонементный почтовый ящик выдаются адресатам при предъявлении документа, удостоверяющего личность.</w:t>
      </w:r>
    </w:p>
    <w:p w:rsidR="007B4F32" w:rsidRDefault="007B4F32">
      <w:pPr>
        <w:pStyle w:val="point"/>
      </w:pPr>
      <w:r>
        <w:t>83. При отсутствии возможности вручения телеграммы адресату (его представителю, члену семьи адресата) в ячейке абонентского почтового шкафа адресата оставляется извещение, в котором указываются время доставки, номер телефона и режим работы организации, оказывающей услуги по передаче телеграмм.</w:t>
      </w:r>
    </w:p>
    <w:p w:rsidR="007B4F32" w:rsidRDefault="007B4F32">
      <w:pPr>
        <w:pStyle w:val="newncpi"/>
      </w:pPr>
      <w:r>
        <w:t>Если адресат не обратился за получением телеграммы в течение суток после оставления извещения в ячейке абонентского почтового шкафа адресата, организацией, оказывающей услуги по передаче телеграмм, должны быть приняты меры к ее повторной доставке.</w:t>
      </w:r>
    </w:p>
    <w:p w:rsidR="007B4F32" w:rsidRDefault="007B4F32">
      <w:pPr>
        <w:pStyle w:val="point"/>
      </w:pPr>
      <w:r>
        <w:t>84. Телеграммы «до востребования», адресованные на абонементный почтовый ящик, передаются работникам организаций, оказывающих услуги по передаче телеграмм.</w:t>
      </w:r>
    </w:p>
    <w:p w:rsidR="007B4F32" w:rsidRDefault="007B4F32">
      <w:pPr>
        <w:pStyle w:val="point"/>
      </w:pPr>
      <w:r>
        <w:t>85. Телеграммы, адресованные юридическим лицам, а также в воинские части, учреждения уголовно-исполнительной системы либо по месту временного нахождения физических лиц (общежития, гостиницы, дома отдыха, санатории, пансионаты, оздоровительные лагеря, больницы и другие), вручаются лицу, уполномоченному на получение телеграмм, для последующего вручения их адресату только при наличии письменного заявления юридического лица или договора между соответствующим юридическим лицом и организациями, оказывающими услуги по передаче телеграмм.</w:t>
      </w:r>
    </w:p>
    <w:p w:rsidR="007B4F32" w:rsidRDefault="007B4F32">
      <w:pPr>
        <w:pStyle w:val="point"/>
      </w:pPr>
      <w:r>
        <w:t>86. Если телеграмма не может быть вручена адресату в течение трех рабочих дней, организацией, оказывающей услуги по передаче телеграмм, передается извещение в пункт приема телеграммы с указанием причины ее невручения для информирования отправителя.</w:t>
      </w:r>
    </w:p>
    <w:p w:rsidR="007B4F32" w:rsidRDefault="007B4F32">
      <w:pPr>
        <w:pStyle w:val="point"/>
      </w:pPr>
      <w:r>
        <w:t>87. Отправителю телеграммы по его требованию в течение двух месяцев со дня подачи телеграммы организацией, оказывающей услуги по передаче телеграмм, возвращается:</w:t>
      </w:r>
    </w:p>
    <w:p w:rsidR="007B4F32" w:rsidRDefault="007B4F32">
      <w:pPr>
        <w:pStyle w:val="newncpi"/>
      </w:pPr>
      <w:r>
        <w:t>часть платы, если будет выяснено, что за телеграмму внесена излишняя плата;</w:t>
      </w:r>
    </w:p>
    <w:p w:rsidR="007B4F32" w:rsidRDefault="007B4F32">
      <w:pPr>
        <w:pStyle w:val="newncpi"/>
      </w:pPr>
      <w:r>
        <w:t>плата за служебный запрос, поданный по просьбе отправителя, если последующей проверкой подтверждается, что телеграмма не вручена адресату по вине организации, оказывающей услуги по передаче телеграмм.</w:t>
      </w:r>
    </w:p>
    <w:p w:rsidR="007B4F32" w:rsidRDefault="007B4F32">
      <w:pPr>
        <w:pStyle w:val="point"/>
      </w:pPr>
      <w:r>
        <w:t>88. Телеграммы и документы по ним хранятся организациями, оказывающими услуги по передаче телеграмм, в течение семи месяцев. Время хранения рассчитывается со дня датирования телеграмм и документов по ним. </w:t>
      </w:r>
    </w:p>
    <w:p w:rsidR="007B4F32" w:rsidRDefault="007B4F32">
      <w:pPr>
        <w:pStyle w:val="newncpi"/>
      </w:pPr>
      <w:r>
        <w:t>По истечении срока хранения телеграммы и документы по ним подлежат уничтожению.</w:t>
      </w:r>
    </w:p>
    <w:p w:rsidR="007B4F32" w:rsidRDefault="007B4F32">
      <w:pPr>
        <w:pStyle w:val="point"/>
      </w:pPr>
      <w:r>
        <w:t>89. Виды, категории телеграмм, порядок их оформления, приема и особенности передачи устанавливаются Министерством связи и информатизации.</w:t>
      </w:r>
    </w:p>
    <w:p w:rsidR="007B4F32" w:rsidRDefault="007B4F32">
      <w:pPr>
        <w:pStyle w:val="newncpi"/>
      </w:pPr>
      <w:r>
        <w:t> </w:t>
      </w:r>
    </w:p>
    <w:tbl>
      <w:tblPr>
        <w:tblW w:w="5000" w:type="pct"/>
        <w:tblCellMar>
          <w:left w:w="0" w:type="dxa"/>
          <w:right w:w="0" w:type="dxa"/>
        </w:tblCellMar>
        <w:tblLook w:val="04A0" w:firstRow="1" w:lastRow="0" w:firstColumn="1" w:lastColumn="0" w:noHBand="0" w:noVBand="1"/>
      </w:tblPr>
      <w:tblGrid>
        <w:gridCol w:w="6388"/>
        <w:gridCol w:w="2981"/>
      </w:tblGrid>
      <w:tr w:rsidR="007B4F32">
        <w:tc>
          <w:tcPr>
            <w:tcW w:w="3409" w:type="pct"/>
            <w:tcMar>
              <w:top w:w="0" w:type="dxa"/>
              <w:left w:w="6" w:type="dxa"/>
              <w:bottom w:w="0" w:type="dxa"/>
              <w:right w:w="6" w:type="dxa"/>
            </w:tcMar>
            <w:hideMark/>
          </w:tcPr>
          <w:p w:rsidR="007B4F32" w:rsidRDefault="007B4F32">
            <w:pPr>
              <w:pStyle w:val="newncpi"/>
            </w:pPr>
            <w:r>
              <w:t> </w:t>
            </w:r>
          </w:p>
        </w:tc>
        <w:tc>
          <w:tcPr>
            <w:tcW w:w="1591" w:type="pct"/>
            <w:tcMar>
              <w:top w:w="0" w:type="dxa"/>
              <w:left w:w="6" w:type="dxa"/>
              <w:bottom w:w="0" w:type="dxa"/>
              <w:right w:w="6" w:type="dxa"/>
            </w:tcMar>
            <w:hideMark/>
          </w:tcPr>
          <w:p w:rsidR="007B4F32" w:rsidRDefault="007B4F32">
            <w:pPr>
              <w:pStyle w:val="append1"/>
            </w:pPr>
            <w:r>
              <w:t>Приложение</w:t>
            </w:r>
          </w:p>
          <w:p w:rsidR="007B4F32" w:rsidRDefault="007B4F32">
            <w:pPr>
              <w:pStyle w:val="append"/>
            </w:pPr>
            <w:r>
              <w:lastRenderedPageBreak/>
              <w:t xml:space="preserve">к Правилам оказания </w:t>
            </w:r>
            <w:r>
              <w:br/>
              <w:t>услуг электросвязи</w:t>
            </w:r>
            <w:r>
              <w:br/>
              <w:t>(в редакции постановления</w:t>
            </w:r>
            <w:r>
              <w:br/>
              <w:t>Совета Министров</w:t>
            </w:r>
            <w:r>
              <w:br/>
              <w:t>Республики Беларусь</w:t>
            </w:r>
            <w:r>
              <w:br/>
              <w:t xml:space="preserve">31.12.2024 № 1073) </w:t>
            </w:r>
          </w:p>
        </w:tc>
      </w:tr>
    </w:tbl>
    <w:p w:rsidR="007B4F32" w:rsidRDefault="007B4F32">
      <w:pPr>
        <w:pStyle w:val="titlep"/>
        <w:jc w:val="left"/>
      </w:pPr>
      <w:r>
        <w:lastRenderedPageBreak/>
        <w:t>ПАРАМЕТРЫ (ПОКАЗАТЕЛИ)</w:t>
      </w:r>
      <w:r>
        <w:br/>
        <w:t>качества услуг электросвязи, работы сети электросвязи и обслуживания абонентов</w:t>
      </w:r>
    </w:p>
    <w:tbl>
      <w:tblPr>
        <w:tblW w:w="5000" w:type="pct"/>
        <w:tblCellMar>
          <w:left w:w="0" w:type="dxa"/>
          <w:right w:w="0" w:type="dxa"/>
        </w:tblCellMar>
        <w:tblLook w:val="04A0" w:firstRow="1" w:lastRow="0" w:firstColumn="1" w:lastColumn="0" w:noHBand="0" w:noVBand="1"/>
      </w:tblPr>
      <w:tblGrid>
        <w:gridCol w:w="6247"/>
        <w:gridCol w:w="3122"/>
      </w:tblGrid>
      <w:tr w:rsidR="007B4F32">
        <w:trPr>
          <w:trHeight w:val="240"/>
        </w:trPr>
        <w:tc>
          <w:tcPr>
            <w:tcW w:w="3334" w:type="pct"/>
            <w:tcBorders>
              <w:top w:val="single" w:sz="4" w:space="0" w:color="auto"/>
              <w:bottom w:val="single" w:sz="4" w:space="0" w:color="auto"/>
              <w:right w:val="single" w:sz="4" w:space="0" w:color="auto"/>
            </w:tcBorders>
            <w:tcMar>
              <w:top w:w="0" w:type="dxa"/>
              <w:left w:w="6" w:type="dxa"/>
              <w:bottom w:w="0" w:type="dxa"/>
              <w:right w:w="6" w:type="dxa"/>
            </w:tcMar>
            <w:vAlign w:val="center"/>
            <w:hideMark/>
          </w:tcPr>
          <w:p w:rsidR="007B4F32" w:rsidRDefault="007B4F32">
            <w:pPr>
              <w:pStyle w:val="table10"/>
              <w:jc w:val="center"/>
            </w:pPr>
            <w:r>
              <w:t>Параметр (показатель) качества</w:t>
            </w:r>
          </w:p>
        </w:tc>
        <w:tc>
          <w:tcPr>
            <w:tcW w:w="1666" w:type="pct"/>
            <w:tcBorders>
              <w:top w:val="single" w:sz="4" w:space="0" w:color="auto"/>
              <w:left w:val="single" w:sz="4" w:space="0" w:color="auto"/>
              <w:bottom w:val="single" w:sz="4" w:space="0" w:color="auto"/>
            </w:tcBorders>
            <w:tcMar>
              <w:top w:w="0" w:type="dxa"/>
              <w:left w:w="6" w:type="dxa"/>
              <w:bottom w:w="0" w:type="dxa"/>
              <w:right w:w="6" w:type="dxa"/>
            </w:tcMar>
            <w:vAlign w:val="center"/>
            <w:hideMark/>
          </w:tcPr>
          <w:p w:rsidR="007B4F32" w:rsidRDefault="007B4F32">
            <w:pPr>
              <w:pStyle w:val="table10"/>
              <w:jc w:val="center"/>
            </w:pPr>
            <w:r>
              <w:t>Значение</w:t>
            </w:r>
          </w:p>
        </w:tc>
      </w:tr>
      <w:tr w:rsidR="007B4F32">
        <w:trPr>
          <w:trHeight w:val="240"/>
        </w:trPr>
        <w:tc>
          <w:tcPr>
            <w:tcW w:w="5000" w:type="pct"/>
            <w:gridSpan w:val="2"/>
            <w:tcBorders>
              <w:top w:val="single" w:sz="4" w:space="0" w:color="auto"/>
            </w:tcBorders>
            <w:tcMar>
              <w:top w:w="0" w:type="dxa"/>
              <w:left w:w="6" w:type="dxa"/>
              <w:bottom w:w="0" w:type="dxa"/>
              <w:right w:w="6" w:type="dxa"/>
            </w:tcMar>
            <w:hideMark/>
          </w:tcPr>
          <w:p w:rsidR="007B4F32" w:rsidRDefault="007B4F32">
            <w:pPr>
              <w:pStyle w:val="table10"/>
              <w:spacing w:before="120"/>
              <w:jc w:val="center"/>
            </w:pPr>
            <w:r>
              <w:t>Показатели качества обслуживания абонентов</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1. Доля договоров, по которым доступ к услуге организован в срок, не превышающий количество дней (со дня регистрации заявления либо подписания договора), указанных в договоре либо порядке (правилах) оказания услуги,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менее 99</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2. Коэффициент доступности службы технической поддержки (при нормативном значении времени ответа специалиста службы не более 180 с),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менее 90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3. Коэффициент восстановления связи,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менее 95</w:t>
            </w:r>
          </w:p>
        </w:tc>
      </w:tr>
      <w:tr w:rsidR="007B4F32">
        <w:trPr>
          <w:trHeight w:val="240"/>
        </w:trPr>
        <w:tc>
          <w:tcPr>
            <w:tcW w:w="5000" w:type="pct"/>
            <w:gridSpan w:val="2"/>
            <w:tcMar>
              <w:top w:w="0" w:type="dxa"/>
              <w:left w:w="6" w:type="dxa"/>
              <w:bottom w:w="0" w:type="dxa"/>
              <w:right w:w="6" w:type="dxa"/>
            </w:tcMar>
            <w:hideMark/>
          </w:tcPr>
          <w:p w:rsidR="007B4F32" w:rsidRDefault="007B4F32">
            <w:pPr>
              <w:pStyle w:val="table10"/>
              <w:spacing w:before="120"/>
              <w:jc w:val="center"/>
            </w:pPr>
            <w:r>
              <w:t>Показатели качества услуги телефонного радиосоединения сотовой подвижной электросвязи в зоне обслуживания</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4. Доля неуспешных вызовов от общего количества вызовов,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6</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5. Доля вызовов, не удовлетворяющих нормативам по времени установления соединения,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5</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6. Доля вызовов, окончившихся разъединением установленного соединения не по инициативе абонента,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3</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7. Доля переданных образцов речи, не удовлетворяющих нормативам по качеству передачи речи,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6</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8. Средняя балльная оценка качества передачи речи, баллов</w:t>
            </w:r>
          </w:p>
        </w:tc>
        <w:tc>
          <w:tcPr>
            <w:tcW w:w="1666" w:type="pct"/>
            <w:tcMar>
              <w:top w:w="0" w:type="dxa"/>
              <w:left w:w="6" w:type="dxa"/>
              <w:bottom w:w="0" w:type="dxa"/>
              <w:right w:w="6" w:type="dxa"/>
            </w:tcMar>
            <w:hideMark/>
          </w:tcPr>
          <w:p w:rsidR="007B4F32" w:rsidRDefault="007B4F32">
            <w:pPr>
              <w:pStyle w:val="table10"/>
              <w:spacing w:before="120"/>
              <w:jc w:val="center"/>
            </w:pPr>
            <w:r>
              <w:t>не менее 3,2</w:t>
            </w:r>
          </w:p>
        </w:tc>
      </w:tr>
      <w:tr w:rsidR="007B4F32">
        <w:trPr>
          <w:trHeight w:val="240"/>
        </w:trPr>
        <w:tc>
          <w:tcPr>
            <w:tcW w:w="5000" w:type="pct"/>
            <w:gridSpan w:val="2"/>
            <w:tcMar>
              <w:top w:w="0" w:type="dxa"/>
              <w:left w:w="6" w:type="dxa"/>
              <w:bottom w:w="0" w:type="dxa"/>
              <w:right w:w="6" w:type="dxa"/>
            </w:tcMar>
            <w:hideMark/>
          </w:tcPr>
          <w:p w:rsidR="007B4F32" w:rsidRDefault="007B4F32">
            <w:pPr>
              <w:pStyle w:val="table10"/>
              <w:spacing w:before="120"/>
              <w:jc w:val="center"/>
            </w:pPr>
            <w:r>
              <w:t>Параметры (показатели) качества услуги передачи данных с использованием сети сотовой подвижной электросвязи в зоне обслуживания</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9. Доля неуспешных соединений передачи данных от общего количества попыток передачи данных по направлению к абоненту,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10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10. Доля соединений, не удовлетворяющих нормам по времени задержки передачи IP-пакетов, более 400 мс,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7</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11. Коэффициент потери IP-пакетов,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3</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12. Доля соединений передачи данных для сетей стандарта UMTS/LTE/IMT-2020 со скоростью передачи данных менее 1 Мбит/с по направлению к абоненту,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10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13. Доля соединений передачи данных для сетей стандарта UMTS со скоростью передачи данных менее 2 Мбит/с по направлению к абоненту,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30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14. Доля соединений передачи данных для сетей стандарта UMTS/LTE/IMT-2020 со скоростью передачи данных менее 1 Мбит/с по направлению от абонента,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20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15. Доля соединений передачи данных для сетей стандарта LTE/IMT-2020 со скоростью передачи данных менее 5 Мбит/с по направлению к абоненту,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30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16. Средняя скорость передачи данных для сетей стандарта UMTS/LTE/IMT-2020 по направлению к абоненту, Мбит/с</w:t>
            </w:r>
          </w:p>
        </w:tc>
        <w:tc>
          <w:tcPr>
            <w:tcW w:w="1666" w:type="pct"/>
            <w:tcMar>
              <w:top w:w="0" w:type="dxa"/>
              <w:left w:w="6" w:type="dxa"/>
              <w:bottom w:w="0" w:type="dxa"/>
              <w:right w:w="6" w:type="dxa"/>
            </w:tcMar>
            <w:hideMark/>
          </w:tcPr>
          <w:p w:rsidR="007B4F32" w:rsidRDefault="007B4F32">
            <w:pPr>
              <w:pStyle w:val="table10"/>
              <w:spacing w:before="120"/>
              <w:jc w:val="center"/>
            </w:pPr>
            <w:r>
              <w:t>не менее 5</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lastRenderedPageBreak/>
              <w:t>17. Время начала воспроизведения видео, с</w:t>
            </w:r>
          </w:p>
        </w:tc>
        <w:tc>
          <w:tcPr>
            <w:tcW w:w="1666" w:type="pct"/>
            <w:tcMar>
              <w:top w:w="0" w:type="dxa"/>
              <w:left w:w="6" w:type="dxa"/>
              <w:bottom w:w="0" w:type="dxa"/>
              <w:right w:w="6" w:type="dxa"/>
            </w:tcMar>
            <w:hideMark/>
          </w:tcPr>
          <w:p w:rsidR="007B4F32" w:rsidRDefault="007B4F32">
            <w:pPr>
              <w:pStyle w:val="table10"/>
              <w:spacing w:before="120"/>
              <w:jc w:val="center"/>
            </w:pPr>
            <w:r>
              <w:t>не более 10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18. Время загрузки веб-страниц, с</w:t>
            </w:r>
          </w:p>
        </w:tc>
        <w:tc>
          <w:tcPr>
            <w:tcW w:w="1666" w:type="pct"/>
            <w:tcMar>
              <w:top w:w="0" w:type="dxa"/>
              <w:left w:w="6" w:type="dxa"/>
              <w:bottom w:w="0" w:type="dxa"/>
              <w:right w:w="6" w:type="dxa"/>
            </w:tcMar>
            <w:hideMark/>
          </w:tcPr>
          <w:p w:rsidR="007B4F32" w:rsidRDefault="007B4F32">
            <w:pPr>
              <w:pStyle w:val="table10"/>
              <w:spacing w:before="120"/>
              <w:jc w:val="center"/>
            </w:pPr>
            <w:r>
              <w:t>не более 6</w:t>
            </w:r>
          </w:p>
        </w:tc>
      </w:tr>
      <w:tr w:rsidR="007B4F32">
        <w:trPr>
          <w:trHeight w:val="240"/>
        </w:trPr>
        <w:tc>
          <w:tcPr>
            <w:tcW w:w="5000" w:type="pct"/>
            <w:gridSpan w:val="2"/>
            <w:tcMar>
              <w:top w:w="0" w:type="dxa"/>
              <w:left w:w="6" w:type="dxa"/>
              <w:bottom w:w="0" w:type="dxa"/>
              <w:right w:w="6" w:type="dxa"/>
            </w:tcMar>
            <w:hideMark/>
          </w:tcPr>
          <w:p w:rsidR="007B4F32" w:rsidRDefault="007B4F32">
            <w:pPr>
              <w:pStyle w:val="table10"/>
              <w:spacing w:before="120"/>
              <w:jc w:val="center"/>
            </w:pPr>
            <w:r>
              <w:t>Параметры (показатели) качества услуги передачи данных с использованием сети стационарной электросвязи</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19. Скорость передачи данных:</w:t>
            </w:r>
          </w:p>
        </w:tc>
        <w:tc>
          <w:tcPr>
            <w:tcW w:w="1666" w:type="pct"/>
            <w:tcMar>
              <w:top w:w="0" w:type="dxa"/>
              <w:left w:w="6" w:type="dxa"/>
              <w:bottom w:w="0" w:type="dxa"/>
              <w:right w:w="6" w:type="dxa"/>
            </w:tcMar>
            <w:hideMark/>
          </w:tcPr>
          <w:p w:rsidR="007B4F32" w:rsidRDefault="007B4F32">
            <w:pPr>
              <w:pStyle w:val="table10"/>
              <w:spacing w:before="120"/>
              <w:jc w:val="center"/>
            </w:pPr>
            <w:r>
              <w:t> </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ind w:left="284"/>
            </w:pPr>
            <w:r>
              <w:t>максимальная</w:t>
            </w:r>
          </w:p>
        </w:tc>
        <w:tc>
          <w:tcPr>
            <w:tcW w:w="1666" w:type="pct"/>
            <w:tcMar>
              <w:top w:w="0" w:type="dxa"/>
              <w:left w:w="6" w:type="dxa"/>
              <w:bottom w:w="0" w:type="dxa"/>
              <w:right w:w="6" w:type="dxa"/>
            </w:tcMar>
            <w:hideMark/>
          </w:tcPr>
          <w:p w:rsidR="007B4F32" w:rsidRDefault="007B4F32">
            <w:pPr>
              <w:pStyle w:val="table10"/>
              <w:spacing w:before="120"/>
              <w:jc w:val="center"/>
            </w:pPr>
            <w:r>
              <w:t>не менее определенной в соответствии с договором (тарифным планом)</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ind w:left="284"/>
            </w:pPr>
            <w:r>
              <w:t>минимальная</w:t>
            </w:r>
          </w:p>
        </w:tc>
        <w:tc>
          <w:tcPr>
            <w:tcW w:w="1666" w:type="pct"/>
            <w:tcMar>
              <w:top w:w="0" w:type="dxa"/>
              <w:left w:w="6" w:type="dxa"/>
              <w:bottom w:w="0" w:type="dxa"/>
              <w:right w:w="6" w:type="dxa"/>
            </w:tcMar>
            <w:hideMark/>
          </w:tcPr>
          <w:p w:rsidR="007B4F32" w:rsidRDefault="007B4F32">
            <w:pPr>
              <w:pStyle w:val="table10"/>
              <w:spacing w:before="120"/>
              <w:jc w:val="center"/>
            </w:pPr>
            <w:r>
              <w:t>не менее 70 процентов от максимальной скорости, указанной в договоре (тарифном плане)</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20. Время задержки передачи IP-пакетов, мс</w:t>
            </w:r>
          </w:p>
        </w:tc>
        <w:tc>
          <w:tcPr>
            <w:tcW w:w="1666" w:type="pct"/>
            <w:tcMar>
              <w:top w:w="0" w:type="dxa"/>
              <w:left w:w="6" w:type="dxa"/>
              <w:bottom w:w="0" w:type="dxa"/>
              <w:right w:w="6" w:type="dxa"/>
            </w:tcMar>
            <w:hideMark/>
          </w:tcPr>
          <w:p w:rsidR="007B4F32" w:rsidRDefault="007B4F32">
            <w:pPr>
              <w:pStyle w:val="table10"/>
              <w:spacing w:before="120"/>
              <w:jc w:val="center"/>
            </w:pPr>
            <w:r>
              <w:t>не более 400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21. Коэффициент потери IP-пакетов,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1</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22. Коэффициент готовности соединения с сетью Интернет,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менее 99</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23. Доля успешных попыток соединения от общего количества соединений,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менее 90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24. Доля соединений, окончившихся преждевременным разъединением,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5</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25. Доля соединений, соответствующих нормам по скорости передачи данных,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менее 90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26. Доля соединений, соответствующих нормам по времени задержки передачи IP-пакетов,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менее 90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27. Доля соединений, соответствующих нормам по потерям IP-пакетов,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менее 90</w:t>
            </w:r>
          </w:p>
        </w:tc>
      </w:tr>
      <w:tr w:rsidR="007B4F32">
        <w:trPr>
          <w:trHeight w:val="240"/>
        </w:trPr>
        <w:tc>
          <w:tcPr>
            <w:tcW w:w="5000" w:type="pct"/>
            <w:gridSpan w:val="2"/>
            <w:tcMar>
              <w:top w:w="0" w:type="dxa"/>
              <w:left w:w="6" w:type="dxa"/>
              <w:bottom w:w="0" w:type="dxa"/>
              <w:right w:w="6" w:type="dxa"/>
            </w:tcMar>
            <w:hideMark/>
          </w:tcPr>
          <w:p w:rsidR="007B4F32" w:rsidRDefault="007B4F32">
            <w:pPr>
              <w:pStyle w:val="table10"/>
              <w:spacing w:before="120"/>
              <w:jc w:val="center"/>
            </w:pPr>
            <w:r>
              <w:t>Параметры (показатели) качества услуги передачи данных с использованием технологии Wi-Fi и иных технологий беспроводного доступа в зоне обслуживания</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28. Доля неуспешных попыток передачи данных от общего количества попыток передачи данных,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15</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29. Доля соединений с задержкой передачи IP-пакетов более 400 мс,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10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30. Коэффициент потери IP-пакетов, процентов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3</w:t>
            </w:r>
          </w:p>
        </w:tc>
      </w:tr>
      <w:tr w:rsidR="007B4F32">
        <w:trPr>
          <w:trHeight w:val="240"/>
        </w:trPr>
        <w:tc>
          <w:tcPr>
            <w:tcW w:w="5000" w:type="pct"/>
            <w:gridSpan w:val="2"/>
            <w:tcMar>
              <w:top w:w="0" w:type="dxa"/>
              <w:left w:w="6" w:type="dxa"/>
              <w:bottom w:w="0" w:type="dxa"/>
              <w:right w:w="6" w:type="dxa"/>
            </w:tcMar>
            <w:hideMark/>
          </w:tcPr>
          <w:p w:rsidR="007B4F32" w:rsidRDefault="007B4F32">
            <w:pPr>
              <w:pStyle w:val="table10"/>
              <w:spacing w:before="120"/>
              <w:jc w:val="center"/>
            </w:pPr>
            <w:r>
              <w:t>Параметры (показатели) качества услуги эфирного наземного цифрового телевизионного вещания стандарта DVB-T/T2 (в месте приема на высоте 10 м от поверхности земли) в зоне обслуживания</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31. Минимальная напряженность электрического поля сигнала, дБмкВ/м*</w:t>
            </w:r>
          </w:p>
        </w:tc>
        <w:tc>
          <w:tcPr>
            <w:tcW w:w="1666" w:type="pct"/>
            <w:tcMar>
              <w:top w:w="0" w:type="dxa"/>
              <w:left w:w="6" w:type="dxa"/>
              <w:bottom w:w="0" w:type="dxa"/>
              <w:right w:w="6" w:type="dxa"/>
            </w:tcMar>
            <w:hideMark/>
          </w:tcPr>
          <w:p w:rsidR="007B4F32" w:rsidRDefault="007B4F32">
            <w:pPr>
              <w:pStyle w:val="table10"/>
              <w:spacing w:before="120"/>
              <w:jc w:val="center"/>
            </w:pPr>
            <w:r>
              <w:t>54</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32. Отклонение от центральной частоты, Гц:</w:t>
            </w:r>
          </w:p>
        </w:tc>
        <w:tc>
          <w:tcPr>
            <w:tcW w:w="1666" w:type="pct"/>
            <w:tcMar>
              <w:top w:w="0" w:type="dxa"/>
              <w:left w:w="6" w:type="dxa"/>
              <w:bottom w:w="0" w:type="dxa"/>
              <w:right w:w="6" w:type="dxa"/>
            </w:tcMar>
            <w:hideMark/>
          </w:tcPr>
          <w:p w:rsidR="007B4F32" w:rsidRDefault="007B4F32">
            <w:pPr>
              <w:pStyle w:val="table10"/>
              <w:spacing w:before="120"/>
              <w:jc w:val="center"/>
            </w:pPr>
            <w:r>
              <w:t> </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ind w:left="284"/>
            </w:pPr>
            <w:r>
              <w:t>одночастотный режим</w:t>
            </w:r>
          </w:p>
        </w:tc>
        <w:tc>
          <w:tcPr>
            <w:tcW w:w="1666" w:type="pct"/>
            <w:tcMar>
              <w:top w:w="0" w:type="dxa"/>
              <w:left w:w="6" w:type="dxa"/>
              <w:bottom w:w="0" w:type="dxa"/>
              <w:right w:w="6" w:type="dxa"/>
            </w:tcMar>
            <w:hideMark/>
          </w:tcPr>
          <w:p w:rsidR="007B4F32" w:rsidRDefault="007B4F32">
            <w:pPr>
              <w:pStyle w:val="table10"/>
              <w:spacing w:before="120"/>
              <w:jc w:val="center"/>
            </w:pPr>
            <w:r>
              <w:t>не более 1</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ind w:left="284"/>
            </w:pPr>
            <w:r>
              <w:t>многочастотный режим</w:t>
            </w:r>
          </w:p>
        </w:tc>
        <w:tc>
          <w:tcPr>
            <w:tcW w:w="1666" w:type="pct"/>
            <w:tcMar>
              <w:top w:w="0" w:type="dxa"/>
              <w:left w:w="6" w:type="dxa"/>
              <w:bottom w:w="0" w:type="dxa"/>
              <w:right w:w="6" w:type="dxa"/>
            </w:tcMar>
            <w:hideMark/>
          </w:tcPr>
          <w:p w:rsidR="007B4F32" w:rsidRDefault="007B4F32">
            <w:pPr>
              <w:pStyle w:val="table10"/>
              <w:spacing w:before="120"/>
              <w:jc w:val="center"/>
            </w:pPr>
            <w:r>
              <w:t>не более 100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33. Ширина полосы канала, МГц</w:t>
            </w:r>
          </w:p>
        </w:tc>
        <w:tc>
          <w:tcPr>
            <w:tcW w:w="1666" w:type="pct"/>
            <w:tcMar>
              <w:top w:w="0" w:type="dxa"/>
              <w:left w:w="6" w:type="dxa"/>
              <w:bottom w:w="0" w:type="dxa"/>
              <w:right w:w="6" w:type="dxa"/>
            </w:tcMar>
            <w:hideMark/>
          </w:tcPr>
          <w:p w:rsidR="007B4F32" w:rsidRDefault="007B4F32">
            <w:pPr>
              <w:pStyle w:val="table10"/>
              <w:spacing w:before="120"/>
              <w:jc w:val="center"/>
            </w:pPr>
            <w:r>
              <w:t>не более 8</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34. Коэффициент битовых ошибок после внешнего декодера (BER):</w:t>
            </w:r>
          </w:p>
        </w:tc>
        <w:tc>
          <w:tcPr>
            <w:tcW w:w="1666" w:type="pct"/>
            <w:tcMar>
              <w:top w:w="0" w:type="dxa"/>
              <w:left w:w="6" w:type="dxa"/>
              <w:bottom w:w="0" w:type="dxa"/>
              <w:right w:w="6" w:type="dxa"/>
            </w:tcMar>
            <w:hideMark/>
          </w:tcPr>
          <w:p w:rsidR="007B4F32" w:rsidRDefault="007B4F32">
            <w:pPr>
              <w:pStyle w:val="table10"/>
              <w:spacing w:before="120"/>
              <w:jc w:val="center"/>
            </w:pPr>
            <w:r>
              <w:t> </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ind w:left="284"/>
            </w:pPr>
            <w:r>
              <w:t>DVB-T</w:t>
            </w:r>
          </w:p>
        </w:tc>
        <w:tc>
          <w:tcPr>
            <w:tcW w:w="1666" w:type="pct"/>
            <w:tcMar>
              <w:top w:w="0" w:type="dxa"/>
              <w:left w:w="6" w:type="dxa"/>
              <w:bottom w:w="0" w:type="dxa"/>
              <w:right w:w="6" w:type="dxa"/>
            </w:tcMar>
            <w:hideMark/>
          </w:tcPr>
          <w:p w:rsidR="007B4F32" w:rsidRDefault="007B4F32">
            <w:pPr>
              <w:pStyle w:val="table10"/>
              <w:spacing w:before="120"/>
              <w:jc w:val="center"/>
            </w:pPr>
            <w:r>
              <w:t>не более 2 х 10</w:t>
            </w:r>
            <w:r>
              <w:rPr>
                <w:vertAlign w:val="superscript"/>
              </w:rPr>
              <w:t>–4</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ind w:left="284"/>
            </w:pPr>
            <w:r>
              <w:t>DVB-T2</w:t>
            </w:r>
          </w:p>
        </w:tc>
        <w:tc>
          <w:tcPr>
            <w:tcW w:w="1666" w:type="pct"/>
            <w:tcMar>
              <w:top w:w="0" w:type="dxa"/>
              <w:left w:w="6" w:type="dxa"/>
              <w:bottom w:w="0" w:type="dxa"/>
              <w:right w:w="6" w:type="dxa"/>
            </w:tcMar>
            <w:hideMark/>
          </w:tcPr>
          <w:p w:rsidR="007B4F32" w:rsidRDefault="007B4F32">
            <w:pPr>
              <w:pStyle w:val="table10"/>
              <w:spacing w:before="120"/>
              <w:jc w:val="center"/>
            </w:pPr>
            <w:r>
              <w:t>не более 1 х 10</w:t>
            </w:r>
            <w:r>
              <w:rPr>
                <w:vertAlign w:val="superscript"/>
              </w:rPr>
              <w:t>–7</w:t>
            </w:r>
          </w:p>
        </w:tc>
      </w:tr>
      <w:tr w:rsidR="007B4F32">
        <w:trPr>
          <w:trHeight w:val="240"/>
        </w:trPr>
        <w:tc>
          <w:tcPr>
            <w:tcW w:w="5000" w:type="pct"/>
            <w:gridSpan w:val="2"/>
            <w:tcMar>
              <w:top w:w="0" w:type="dxa"/>
              <w:left w:w="6" w:type="dxa"/>
              <w:bottom w:w="0" w:type="dxa"/>
              <w:right w:w="6" w:type="dxa"/>
            </w:tcMar>
            <w:hideMark/>
          </w:tcPr>
          <w:p w:rsidR="007B4F32" w:rsidRDefault="007B4F32">
            <w:pPr>
              <w:pStyle w:val="table10"/>
              <w:spacing w:before="120"/>
              <w:jc w:val="center"/>
            </w:pPr>
            <w:r>
              <w:t>Показатели качества услуги по трансляции телепрограмм в системах кабельного телевидения (на выходе абонентской розетки)</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35. Уровни напряжения радиосигналов изображения в полосе частот распределения радиосигналов, дБмкВ:</w:t>
            </w:r>
          </w:p>
        </w:tc>
        <w:tc>
          <w:tcPr>
            <w:tcW w:w="1666" w:type="pct"/>
            <w:tcMar>
              <w:top w:w="0" w:type="dxa"/>
              <w:left w:w="6" w:type="dxa"/>
              <w:bottom w:w="0" w:type="dxa"/>
              <w:right w:w="6" w:type="dxa"/>
            </w:tcMar>
            <w:hideMark/>
          </w:tcPr>
          <w:p w:rsidR="007B4F32" w:rsidRDefault="007B4F32">
            <w:pPr>
              <w:pStyle w:val="table10"/>
              <w:spacing w:before="120"/>
            </w:pPr>
            <w:r>
              <w:t> </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ind w:left="284"/>
            </w:pPr>
            <w:r>
              <w:lastRenderedPageBreak/>
              <w:t>максимальный</w:t>
            </w:r>
          </w:p>
        </w:tc>
        <w:tc>
          <w:tcPr>
            <w:tcW w:w="1666" w:type="pct"/>
            <w:tcMar>
              <w:top w:w="0" w:type="dxa"/>
              <w:left w:w="6" w:type="dxa"/>
              <w:bottom w:w="0" w:type="dxa"/>
              <w:right w:w="6" w:type="dxa"/>
            </w:tcMar>
            <w:hideMark/>
          </w:tcPr>
          <w:p w:rsidR="007B4F32" w:rsidRDefault="007B4F32">
            <w:pPr>
              <w:pStyle w:val="table10"/>
              <w:spacing w:before="120"/>
              <w:jc w:val="center"/>
            </w:pPr>
            <w:r>
              <w:t>80**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ind w:left="284"/>
            </w:pPr>
            <w:r>
              <w:t>минимальный</w:t>
            </w:r>
          </w:p>
        </w:tc>
        <w:tc>
          <w:tcPr>
            <w:tcW w:w="1666" w:type="pct"/>
            <w:tcMar>
              <w:top w:w="0" w:type="dxa"/>
              <w:left w:w="6" w:type="dxa"/>
              <w:bottom w:w="0" w:type="dxa"/>
              <w:right w:w="6" w:type="dxa"/>
            </w:tcMar>
            <w:hideMark/>
          </w:tcPr>
          <w:p w:rsidR="007B4F32" w:rsidRDefault="007B4F32">
            <w:pPr>
              <w:pStyle w:val="table10"/>
              <w:spacing w:before="120"/>
              <w:jc w:val="center"/>
            </w:pPr>
            <w:r>
              <w:t>60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36. Уровни напряжения радиосигналов с цифровой модуляцией в полосе частот распределения радиосигналов, дБмкВ</w:t>
            </w:r>
          </w:p>
        </w:tc>
        <w:tc>
          <w:tcPr>
            <w:tcW w:w="1666" w:type="pct"/>
            <w:tcMar>
              <w:top w:w="0" w:type="dxa"/>
              <w:left w:w="6" w:type="dxa"/>
              <w:bottom w:w="0" w:type="dxa"/>
              <w:right w:w="6" w:type="dxa"/>
            </w:tcMar>
            <w:hideMark/>
          </w:tcPr>
          <w:p w:rsidR="007B4F32" w:rsidRDefault="007B4F32">
            <w:pPr>
              <w:pStyle w:val="table10"/>
              <w:spacing w:before="120"/>
              <w:jc w:val="center"/>
            </w:pPr>
            <w:r>
              <w:t>не более 70***</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pPr>
            <w:r>
              <w:t>37. Разность уровней напряжения радиосигналов изображения и звукового сопровождения в канале распределения для аналоговых радиосигналов, дБ:</w:t>
            </w:r>
          </w:p>
        </w:tc>
        <w:tc>
          <w:tcPr>
            <w:tcW w:w="1666" w:type="pct"/>
            <w:tcMar>
              <w:top w:w="0" w:type="dxa"/>
              <w:left w:w="6" w:type="dxa"/>
              <w:bottom w:w="0" w:type="dxa"/>
              <w:right w:w="6" w:type="dxa"/>
            </w:tcMar>
            <w:hideMark/>
          </w:tcPr>
          <w:p w:rsidR="007B4F32" w:rsidRDefault="007B4F32">
            <w:pPr>
              <w:pStyle w:val="table10"/>
              <w:spacing w:before="120"/>
              <w:jc w:val="center"/>
            </w:pPr>
            <w:r>
              <w:t> </w:t>
            </w:r>
          </w:p>
        </w:tc>
      </w:tr>
      <w:tr w:rsidR="007B4F32">
        <w:trPr>
          <w:trHeight w:val="240"/>
        </w:trPr>
        <w:tc>
          <w:tcPr>
            <w:tcW w:w="3334" w:type="pct"/>
            <w:tcMar>
              <w:top w:w="0" w:type="dxa"/>
              <w:left w:w="6" w:type="dxa"/>
              <w:bottom w:w="0" w:type="dxa"/>
              <w:right w:w="6" w:type="dxa"/>
            </w:tcMar>
            <w:hideMark/>
          </w:tcPr>
          <w:p w:rsidR="007B4F32" w:rsidRDefault="007B4F32">
            <w:pPr>
              <w:pStyle w:val="table10"/>
              <w:spacing w:before="120"/>
              <w:ind w:left="284"/>
            </w:pPr>
            <w:r>
              <w:t>максимальный</w:t>
            </w:r>
          </w:p>
        </w:tc>
        <w:tc>
          <w:tcPr>
            <w:tcW w:w="1666" w:type="pct"/>
            <w:tcMar>
              <w:top w:w="0" w:type="dxa"/>
              <w:left w:w="6" w:type="dxa"/>
              <w:bottom w:w="0" w:type="dxa"/>
              <w:right w:w="6" w:type="dxa"/>
            </w:tcMar>
            <w:hideMark/>
          </w:tcPr>
          <w:p w:rsidR="007B4F32" w:rsidRDefault="007B4F32">
            <w:pPr>
              <w:pStyle w:val="table10"/>
              <w:spacing w:before="120"/>
              <w:jc w:val="center"/>
            </w:pPr>
            <w:r>
              <w:t>20</w:t>
            </w:r>
          </w:p>
        </w:tc>
      </w:tr>
      <w:tr w:rsidR="007B4F32">
        <w:trPr>
          <w:trHeight w:val="240"/>
        </w:trPr>
        <w:tc>
          <w:tcPr>
            <w:tcW w:w="3334" w:type="pct"/>
            <w:tcBorders>
              <w:bottom w:val="single" w:sz="4" w:space="0" w:color="auto"/>
            </w:tcBorders>
            <w:tcMar>
              <w:top w:w="0" w:type="dxa"/>
              <w:left w:w="6" w:type="dxa"/>
              <w:bottom w:w="0" w:type="dxa"/>
              <w:right w:w="6" w:type="dxa"/>
            </w:tcMar>
            <w:hideMark/>
          </w:tcPr>
          <w:p w:rsidR="007B4F32" w:rsidRDefault="007B4F32">
            <w:pPr>
              <w:pStyle w:val="table10"/>
              <w:spacing w:before="120"/>
              <w:ind w:left="284"/>
            </w:pPr>
            <w:r>
              <w:t>минимальный</w:t>
            </w:r>
          </w:p>
        </w:tc>
        <w:tc>
          <w:tcPr>
            <w:tcW w:w="1666" w:type="pct"/>
            <w:tcBorders>
              <w:bottom w:val="single" w:sz="4" w:space="0" w:color="auto"/>
            </w:tcBorders>
            <w:tcMar>
              <w:top w:w="0" w:type="dxa"/>
              <w:left w:w="6" w:type="dxa"/>
              <w:bottom w:w="0" w:type="dxa"/>
              <w:right w:w="6" w:type="dxa"/>
            </w:tcMar>
            <w:hideMark/>
          </w:tcPr>
          <w:p w:rsidR="007B4F32" w:rsidRDefault="007B4F32">
            <w:pPr>
              <w:pStyle w:val="table10"/>
              <w:spacing w:before="120"/>
              <w:jc w:val="center"/>
            </w:pPr>
            <w:r>
              <w:t>10</w:t>
            </w:r>
          </w:p>
        </w:tc>
      </w:tr>
    </w:tbl>
    <w:p w:rsidR="007B4F32" w:rsidRDefault="007B4F32">
      <w:pPr>
        <w:pStyle w:val="newncpi"/>
      </w:pPr>
      <w:r>
        <w:t> </w:t>
      </w:r>
    </w:p>
    <w:p w:rsidR="007B4F32" w:rsidRDefault="007B4F32">
      <w:pPr>
        <w:pStyle w:val="snoskiline"/>
      </w:pPr>
      <w:r>
        <w:t>______________________________</w:t>
      </w:r>
    </w:p>
    <w:p w:rsidR="007B4F32" w:rsidRDefault="007B4F32">
      <w:pPr>
        <w:pStyle w:val="snoski"/>
      </w:pPr>
      <w:r>
        <w:t>* Фактический уровень напряженности электрического поля сигнала определяется в точке измерения, проводимого с использованием оборудования, прошедшего метрологическую поверку.</w:t>
      </w:r>
    </w:p>
    <w:p w:rsidR="007B4F32" w:rsidRDefault="007B4F32">
      <w:pPr>
        <w:pStyle w:val="snoski"/>
      </w:pPr>
      <w:r>
        <w:t>** При числе каналов распределения более 20 максимальный уровень напряжения радиосигналов должен быть уменьшен на 3 дБ.</w:t>
      </w:r>
    </w:p>
    <w:p w:rsidR="007B4F32" w:rsidRDefault="007B4F32">
      <w:pPr>
        <w:pStyle w:val="snoski"/>
        <w:spacing w:after="240"/>
      </w:pPr>
      <w:r>
        <w:t>*** Фактический уровень напряжения радиосигналов с цифровой модуляцией должен быть не менее чем на 3 дБ ниже минимального уровня напряжения аналогового радиосигнала изображения в пределах полосы частот 100 МГц.</w:t>
      </w:r>
    </w:p>
    <w:p w:rsidR="007B4F32" w:rsidRDefault="007B4F32">
      <w:pPr>
        <w:pStyle w:val="newncpi0"/>
      </w:pPr>
      <w:r>
        <w:t> </w:t>
      </w:r>
    </w:p>
    <w:p w:rsidR="007B4F32" w:rsidRDefault="007B4F32">
      <w:pPr>
        <w:pStyle w:val="newncpi"/>
      </w:pPr>
      <w:r>
        <w:t> </w:t>
      </w:r>
    </w:p>
    <w:p w:rsidR="007B4F32" w:rsidRDefault="007B4F32">
      <w:pPr>
        <w:pStyle w:val="newncpi"/>
      </w:pPr>
      <w:r>
        <w:t> </w:t>
      </w:r>
    </w:p>
    <w:p w:rsidR="00A840CF" w:rsidRDefault="00A840CF"/>
    <w:sectPr w:rsidR="00A840CF" w:rsidSect="007B4F32">
      <w:headerReference w:type="even" r:id="rId7"/>
      <w:headerReference w:type="default" r:id="rId8"/>
      <w:footerReference w:type="even" r:id="rId9"/>
      <w:footerReference w:type="default" r:id="rId10"/>
      <w:headerReference w:type="first" r:id="rId11"/>
      <w:footerReference w:type="first" r:id="rId12"/>
      <w:pgSz w:w="11906" w:h="16838"/>
      <w:pgMar w:top="1134" w:right="1133" w:bottom="1134" w:left="1416" w:header="280" w:footer="180"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4C0878" w:rsidRDefault="004C0878" w:rsidP="007B4F32">
      <w:pPr>
        <w:spacing w:after="0" w:line="240" w:lineRule="auto"/>
      </w:pPr>
      <w:r>
        <w:separator/>
      </w:r>
    </w:p>
  </w:endnote>
  <w:endnote w:type="continuationSeparator" w:id="0">
    <w:p w:rsidR="004C0878" w:rsidRDefault="004C0878" w:rsidP="007B4F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F32" w:rsidRDefault="007B4F32">
    <w:pPr>
      <w:pStyle w:val="a5"/>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F32" w:rsidRDefault="007B4F32">
    <w:pPr>
      <w:pStyle w:val="a5"/>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a8"/>
      <w:tblW w:w="0" w:type="auto"/>
      <w:tblBorders>
        <w:left w:val="none" w:sz="0" w:space="0" w:color="auto"/>
        <w:bottom w:val="none" w:sz="0" w:space="0" w:color="auto"/>
        <w:right w:val="none" w:sz="0" w:space="0" w:color="auto"/>
        <w:insideV w:val="none" w:sz="0" w:space="0" w:color="auto"/>
      </w:tblBorders>
      <w:tblLook w:val="04A0" w:firstRow="1" w:lastRow="0" w:firstColumn="1" w:lastColumn="0" w:noHBand="0" w:noVBand="1"/>
    </w:tblPr>
    <w:tblGrid>
      <w:gridCol w:w="2256"/>
      <w:gridCol w:w="7317"/>
    </w:tblGrid>
    <w:tr w:rsidR="007B4F32" w:rsidTr="007B4F32">
      <w:tc>
        <w:tcPr>
          <w:tcW w:w="1800" w:type="dxa"/>
          <w:shd w:val="clear" w:color="auto" w:fill="auto"/>
          <w:vAlign w:val="center"/>
        </w:tcPr>
        <w:p w:rsidR="007B4F32" w:rsidRDefault="007B4F32">
          <w:pPr>
            <w:pStyle w:val="a5"/>
          </w:pPr>
          <w:r>
            <w:rPr>
              <w:noProof/>
              <w:lang w:eastAsia="ru-RU"/>
            </w:rPr>
            <w:drawing>
              <wp:inline distT="0" distB="0" distL="0" distR="0" wp14:anchorId="0C50BF3E" wp14:editId="10C568A5">
                <wp:extent cx="1292352" cy="390144"/>
                <wp:effectExtent l="0" t="0" r="3175"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7B4F32" w:rsidRDefault="007B4F32">
          <w:pPr>
            <w:pStyle w:val="a5"/>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7B4F32" w:rsidRDefault="007B4F32">
          <w:pPr>
            <w:pStyle w:val="a5"/>
            <w:rPr>
              <w:rFonts w:ascii="Times New Roman" w:hAnsi="Times New Roman" w:cs="Times New Roman"/>
              <w:i/>
              <w:sz w:val="24"/>
            </w:rPr>
          </w:pPr>
          <w:r>
            <w:rPr>
              <w:rFonts w:ascii="Times New Roman" w:hAnsi="Times New Roman" w:cs="Times New Roman"/>
              <w:i/>
              <w:sz w:val="24"/>
            </w:rPr>
            <w:t>Информационно-поисковая система "ЭТАЛОН", 10.04.2026</w:t>
          </w:r>
        </w:p>
        <w:p w:rsidR="007B4F32" w:rsidRPr="007B4F32" w:rsidRDefault="007B4F32">
          <w:pPr>
            <w:pStyle w:val="a5"/>
            <w:rPr>
              <w:rFonts w:ascii="Times New Roman" w:hAnsi="Times New Roman" w:cs="Times New Roman"/>
              <w:i/>
              <w:sz w:val="24"/>
            </w:rPr>
          </w:pPr>
          <w:r>
            <w:rPr>
              <w:rFonts w:ascii="Times New Roman" w:hAnsi="Times New Roman" w:cs="Times New Roman"/>
              <w:i/>
              <w:sz w:val="24"/>
            </w:rPr>
            <w:t>Национальный центр правовой информации Республики Беларусь</w:t>
          </w:r>
        </w:p>
      </w:tc>
    </w:tr>
  </w:tbl>
  <w:p w:rsidR="007B4F32" w:rsidRDefault="007B4F32">
    <w:pPr>
      <w:pStyle w:val="a5"/>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4C0878" w:rsidRDefault="004C0878" w:rsidP="007B4F32">
      <w:pPr>
        <w:spacing w:after="0" w:line="240" w:lineRule="auto"/>
      </w:pPr>
      <w:r>
        <w:separator/>
      </w:r>
    </w:p>
  </w:footnote>
  <w:footnote w:type="continuationSeparator" w:id="0">
    <w:p w:rsidR="004C0878" w:rsidRDefault="004C0878" w:rsidP="007B4F32">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F32" w:rsidRDefault="007B4F32" w:rsidP="00205C7C">
    <w:pPr>
      <w:pStyle w:val="a3"/>
      <w:framePr w:wrap="around" w:vAnchor="text" w:hAnchor="margin" w:xAlign="center" w:y="1"/>
      <w:rPr>
        <w:rStyle w:val="a7"/>
      </w:rPr>
    </w:pPr>
    <w:r>
      <w:rPr>
        <w:rStyle w:val="a7"/>
      </w:rPr>
      <w:fldChar w:fldCharType="begin"/>
    </w:r>
    <w:r>
      <w:rPr>
        <w:rStyle w:val="a7"/>
      </w:rPr>
      <w:instrText xml:space="preserve">PAGE  </w:instrText>
    </w:r>
    <w:r>
      <w:rPr>
        <w:rStyle w:val="a7"/>
      </w:rPr>
      <w:fldChar w:fldCharType="end"/>
    </w:r>
  </w:p>
  <w:p w:rsidR="007B4F32" w:rsidRDefault="007B4F32">
    <w:pPr>
      <w:pStyle w:val="a3"/>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F32" w:rsidRPr="007B4F32" w:rsidRDefault="007B4F32" w:rsidP="00205C7C">
    <w:pPr>
      <w:pStyle w:val="a3"/>
      <w:framePr w:wrap="around" w:vAnchor="text" w:hAnchor="margin" w:xAlign="center" w:y="1"/>
      <w:rPr>
        <w:rStyle w:val="a7"/>
        <w:rFonts w:ascii="Times New Roman" w:hAnsi="Times New Roman" w:cs="Times New Roman"/>
        <w:sz w:val="24"/>
      </w:rPr>
    </w:pPr>
    <w:r w:rsidRPr="007B4F32">
      <w:rPr>
        <w:rStyle w:val="a7"/>
        <w:rFonts w:ascii="Times New Roman" w:hAnsi="Times New Roman" w:cs="Times New Roman"/>
        <w:sz w:val="24"/>
      </w:rPr>
      <w:fldChar w:fldCharType="begin"/>
    </w:r>
    <w:r w:rsidRPr="007B4F32">
      <w:rPr>
        <w:rStyle w:val="a7"/>
        <w:rFonts w:ascii="Times New Roman" w:hAnsi="Times New Roman" w:cs="Times New Roman"/>
        <w:sz w:val="24"/>
      </w:rPr>
      <w:instrText xml:space="preserve">PAGE  </w:instrText>
    </w:r>
    <w:r w:rsidRPr="007B4F32">
      <w:rPr>
        <w:rStyle w:val="a7"/>
        <w:rFonts w:ascii="Times New Roman" w:hAnsi="Times New Roman" w:cs="Times New Roman"/>
        <w:sz w:val="24"/>
      </w:rPr>
      <w:fldChar w:fldCharType="separate"/>
    </w:r>
    <w:r>
      <w:rPr>
        <w:rStyle w:val="a7"/>
        <w:rFonts w:ascii="Times New Roman" w:hAnsi="Times New Roman" w:cs="Times New Roman"/>
        <w:noProof/>
        <w:sz w:val="24"/>
      </w:rPr>
      <w:t>2</w:t>
    </w:r>
    <w:r w:rsidRPr="007B4F32">
      <w:rPr>
        <w:rStyle w:val="a7"/>
        <w:rFonts w:ascii="Times New Roman" w:hAnsi="Times New Roman" w:cs="Times New Roman"/>
        <w:sz w:val="24"/>
      </w:rPr>
      <w:fldChar w:fldCharType="end"/>
    </w:r>
  </w:p>
  <w:p w:rsidR="007B4F32" w:rsidRPr="007B4F32" w:rsidRDefault="007B4F32">
    <w:pPr>
      <w:pStyle w:val="a3"/>
      <w:rPr>
        <w:rFonts w:ascii="Times New Roman" w:hAnsi="Times New Roman" w:cs="Times New Roman"/>
        <w:sz w:val="24"/>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7B4F32" w:rsidRDefault="007B4F32">
    <w:pPr>
      <w:pStyle w:val="a3"/>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efaultTabStop w:val="708"/>
  <w:drawingGridHorizontalSpacing w:val="100"/>
  <w:displayHorizontalDrawingGridEvery w:val="0"/>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B4F32"/>
    <w:rsid w:val="004C0878"/>
    <w:rsid w:val="007B4F32"/>
    <w:rsid w:val="00A840CF"/>
    <w:rsid w:val="00E84B3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7B4F3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7B4F3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7B4F3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7B4F32"/>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7B4F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7B4F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7B4F3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7B4F32"/>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7B4F32"/>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7B4F32"/>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7B4F3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7B4F32"/>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7B4F3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7B4F3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7B4F3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7B4F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B4F32"/>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7B4F32"/>
    <w:rPr>
      <w:rFonts w:ascii="Times New Roman" w:hAnsi="Times New Roman" w:cs="Times New Roman" w:hint="default"/>
      <w:caps/>
    </w:rPr>
  </w:style>
  <w:style w:type="character" w:customStyle="1" w:styleId="promulgator">
    <w:name w:val="promulgator"/>
    <w:basedOn w:val="a0"/>
    <w:rsid w:val="007B4F32"/>
    <w:rPr>
      <w:rFonts w:ascii="Times New Roman" w:hAnsi="Times New Roman" w:cs="Times New Roman" w:hint="default"/>
      <w:caps/>
    </w:rPr>
  </w:style>
  <w:style w:type="character" w:customStyle="1" w:styleId="datepr">
    <w:name w:val="datepr"/>
    <w:basedOn w:val="a0"/>
    <w:rsid w:val="007B4F32"/>
    <w:rPr>
      <w:rFonts w:ascii="Times New Roman" w:hAnsi="Times New Roman" w:cs="Times New Roman" w:hint="default"/>
    </w:rPr>
  </w:style>
  <w:style w:type="character" w:customStyle="1" w:styleId="number">
    <w:name w:val="number"/>
    <w:basedOn w:val="a0"/>
    <w:rsid w:val="007B4F32"/>
    <w:rPr>
      <w:rFonts w:ascii="Times New Roman" w:hAnsi="Times New Roman" w:cs="Times New Roman" w:hint="default"/>
    </w:rPr>
  </w:style>
  <w:style w:type="character" w:customStyle="1" w:styleId="post">
    <w:name w:val="post"/>
    <w:basedOn w:val="a0"/>
    <w:rsid w:val="007B4F32"/>
    <w:rPr>
      <w:rFonts w:ascii="Times New Roman" w:hAnsi="Times New Roman" w:cs="Times New Roman" w:hint="default"/>
      <w:b/>
      <w:bCs/>
      <w:sz w:val="22"/>
      <w:szCs w:val="22"/>
    </w:rPr>
  </w:style>
  <w:style w:type="character" w:customStyle="1" w:styleId="pers">
    <w:name w:val="pers"/>
    <w:basedOn w:val="a0"/>
    <w:rsid w:val="007B4F32"/>
    <w:rPr>
      <w:rFonts w:ascii="Times New Roman" w:hAnsi="Times New Roman" w:cs="Times New Roman" w:hint="default"/>
      <w:b/>
      <w:bCs/>
      <w:sz w:val="22"/>
      <w:szCs w:val="22"/>
    </w:rPr>
  </w:style>
  <w:style w:type="paragraph" w:styleId="a3">
    <w:name w:val="header"/>
    <w:basedOn w:val="a"/>
    <w:link w:val="a4"/>
    <w:uiPriority w:val="99"/>
    <w:unhideWhenUsed/>
    <w:rsid w:val="007B4F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4F32"/>
  </w:style>
  <w:style w:type="paragraph" w:styleId="a5">
    <w:name w:val="footer"/>
    <w:basedOn w:val="a"/>
    <w:link w:val="a6"/>
    <w:uiPriority w:val="99"/>
    <w:unhideWhenUsed/>
    <w:rsid w:val="007B4F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4F32"/>
  </w:style>
  <w:style w:type="character" w:styleId="a7">
    <w:name w:val="page number"/>
    <w:basedOn w:val="a0"/>
    <w:uiPriority w:val="99"/>
    <w:semiHidden/>
    <w:unhideWhenUsed/>
    <w:rsid w:val="007B4F32"/>
  </w:style>
  <w:style w:type="table" w:styleId="a8">
    <w:name w:val="Table Grid"/>
    <w:basedOn w:val="a1"/>
    <w:uiPriority w:val="59"/>
    <w:rsid w:val="007B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title">
    <w:name w:val="title"/>
    <w:basedOn w:val="a"/>
    <w:rsid w:val="007B4F32"/>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chapter">
    <w:name w:val="chapter"/>
    <w:basedOn w:val="a"/>
    <w:rsid w:val="007B4F32"/>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7B4F32"/>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titleu">
    <w:name w:val="titleu"/>
    <w:basedOn w:val="a"/>
    <w:rsid w:val="007B4F32"/>
    <w:pPr>
      <w:spacing w:before="240" w:after="240" w:line="240" w:lineRule="auto"/>
    </w:pPr>
    <w:rPr>
      <w:rFonts w:ascii="Times New Roman" w:eastAsiaTheme="minorEastAsia" w:hAnsi="Times New Roman" w:cs="Times New Roman"/>
      <w:b/>
      <w:bCs/>
      <w:sz w:val="24"/>
      <w:szCs w:val="24"/>
      <w:lang w:eastAsia="ru-RU"/>
    </w:rPr>
  </w:style>
  <w:style w:type="paragraph" w:customStyle="1" w:styleId="point">
    <w:name w:val="point"/>
    <w:basedOn w:val="a"/>
    <w:rsid w:val="007B4F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preamble">
    <w:name w:val="preamble"/>
    <w:basedOn w:val="a"/>
    <w:rsid w:val="007B4F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7B4F32"/>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7B4F32"/>
    <w:pPr>
      <w:spacing w:after="0" w:line="240" w:lineRule="auto"/>
      <w:jc w:val="both"/>
    </w:pPr>
    <w:rPr>
      <w:rFonts w:ascii="Times New Roman" w:eastAsiaTheme="minorEastAsia" w:hAnsi="Times New Roman" w:cs="Times New Roman"/>
      <w:sz w:val="20"/>
      <w:szCs w:val="20"/>
      <w:lang w:eastAsia="ru-RU"/>
    </w:rPr>
  </w:style>
  <w:style w:type="paragraph" w:customStyle="1" w:styleId="table10">
    <w:name w:val="table10"/>
    <w:basedOn w:val="a"/>
    <w:rsid w:val="007B4F32"/>
    <w:pPr>
      <w:spacing w:after="0" w:line="240" w:lineRule="auto"/>
    </w:pPr>
    <w:rPr>
      <w:rFonts w:ascii="Times New Roman" w:eastAsiaTheme="minorEastAsia" w:hAnsi="Times New Roman" w:cs="Times New Roman"/>
      <w:sz w:val="20"/>
      <w:szCs w:val="20"/>
      <w:lang w:eastAsia="ru-RU"/>
    </w:rPr>
  </w:style>
  <w:style w:type="paragraph" w:customStyle="1" w:styleId="append">
    <w:name w:val="append"/>
    <w:basedOn w:val="a"/>
    <w:rsid w:val="007B4F32"/>
    <w:pPr>
      <w:spacing w:after="0" w:line="240" w:lineRule="auto"/>
    </w:pPr>
    <w:rPr>
      <w:rFonts w:ascii="Times New Roman" w:eastAsiaTheme="minorEastAsia" w:hAnsi="Times New Roman" w:cs="Times New Roman"/>
      <w:lang w:eastAsia="ru-RU"/>
    </w:rPr>
  </w:style>
  <w:style w:type="paragraph" w:customStyle="1" w:styleId="changeadd">
    <w:name w:val="changeadd"/>
    <w:basedOn w:val="a"/>
    <w:rsid w:val="007B4F32"/>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7B4F32"/>
    <w:pPr>
      <w:spacing w:after="0" w:line="240" w:lineRule="auto"/>
      <w:ind w:left="1021"/>
    </w:pPr>
    <w:rPr>
      <w:rFonts w:ascii="Times New Roman" w:eastAsiaTheme="minorEastAsia" w:hAnsi="Times New Roman" w:cs="Times New Roman"/>
      <w:sz w:val="24"/>
      <w:szCs w:val="24"/>
      <w:lang w:eastAsia="ru-RU"/>
    </w:rPr>
  </w:style>
  <w:style w:type="paragraph" w:customStyle="1" w:styleId="append1">
    <w:name w:val="append1"/>
    <w:basedOn w:val="a"/>
    <w:rsid w:val="007B4F32"/>
    <w:pPr>
      <w:spacing w:after="28" w:line="240" w:lineRule="auto"/>
    </w:pPr>
    <w:rPr>
      <w:rFonts w:ascii="Times New Roman" w:eastAsiaTheme="minorEastAsia" w:hAnsi="Times New Roman" w:cs="Times New Roman"/>
      <w:lang w:eastAsia="ru-RU"/>
    </w:rPr>
  </w:style>
  <w:style w:type="paragraph" w:customStyle="1" w:styleId="cap1">
    <w:name w:val="cap1"/>
    <w:basedOn w:val="a"/>
    <w:rsid w:val="007B4F32"/>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7B4F32"/>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7B4F32"/>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7B4F32"/>
    <w:pPr>
      <w:spacing w:after="0" w:line="240" w:lineRule="auto"/>
      <w:jc w:val="both"/>
    </w:pPr>
    <w:rPr>
      <w:rFonts w:ascii="Times New Roman" w:eastAsiaTheme="minorEastAsia" w:hAnsi="Times New Roman" w:cs="Times New Roman"/>
      <w:sz w:val="24"/>
      <w:szCs w:val="24"/>
      <w:lang w:eastAsia="ru-RU"/>
    </w:rPr>
  </w:style>
  <w:style w:type="character" w:customStyle="1" w:styleId="name">
    <w:name w:val="name"/>
    <w:basedOn w:val="a0"/>
    <w:rsid w:val="007B4F32"/>
    <w:rPr>
      <w:rFonts w:ascii="Times New Roman" w:hAnsi="Times New Roman" w:cs="Times New Roman" w:hint="default"/>
      <w:caps/>
    </w:rPr>
  </w:style>
  <w:style w:type="character" w:customStyle="1" w:styleId="promulgator">
    <w:name w:val="promulgator"/>
    <w:basedOn w:val="a0"/>
    <w:rsid w:val="007B4F32"/>
    <w:rPr>
      <w:rFonts w:ascii="Times New Roman" w:hAnsi="Times New Roman" w:cs="Times New Roman" w:hint="default"/>
      <w:caps/>
    </w:rPr>
  </w:style>
  <w:style w:type="character" w:customStyle="1" w:styleId="datepr">
    <w:name w:val="datepr"/>
    <w:basedOn w:val="a0"/>
    <w:rsid w:val="007B4F32"/>
    <w:rPr>
      <w:rFonts w:ascii="Times New Roman" w:hAnsi="Times New Roman" w:cs="Times New Roman" w:hint="default"/>
    </w:rPr>
  </w:style>
  <w:style w:type="character" w:customStyle="1" w:styleId="number">
    <w:name w:val="number"/>
    <w:basedOn w:val="a0"/>
    <w:rsid w:val="007B4F32"/>
    <w:rPr>
      <w:rFonts w:ascii="Times New Roman" w:hAnsi="Times New Roman" w:cs="Times New Roman" w:hint="default"/>
    </w:rPr>
  </w:style>
  <w:style w:type="character" w:customStyle="1" w:styleId="post">
    <w:name w:val="post"/>
    <w:basedOn w:val="a0"/>
    <w:rsid w:val="007B4F32"/>
    <w:rPr>
      <w:rFonts w:ascii="Times New Roman" w:hAnsi="Times New Roman" w:cs="Times New Roman" w:hint="default"/>
      <w:b/>
      <w:bCs/>
      <w:sz w:val="22"/>
      <w:szCs w:val="22"/>
    </w:rPr>
  </w:style>
  <w:style w:type="character" w:customStyle="1" w:styleId="pers">
    <w:name w:val="pers"/>
    <w:basedOn w:val="a0"/>
    <w:rsid w:val="007B4F32"/>
    <w:rPr>
      <w:rFonts w:ascii="Times New Roman" w:hAnsi="Times New Roman" w:cs="Times New Roman" w:hint="default"/>
      <w:b/>
      <w:bCs/>
      <w:sz w:val="22"/>
      <w:szCs w:val="22"/>
    </w:rPr>
  </w:style>
  <w:style w:type="paragraph" w:styleId="a3">
    <w:name w:val="header"/>
    <w:basedOn w:val="a"/>
    <w:link w:val="a4"/>
    <w:uiPriority w:val="99"/>
    <w:unhideWhenUsed/>
    <w:rsid w:val="007B4F32"/>
    <w:pPr>
      <w:tabs>
        <w:tab w:val="center" w:pos="4677"/>
        <w:tab w:val="right" w:pos="9355"/>
      </w:tabs>
      <w:spacing w:after="0" w:line="240" w:lineRule="auto"/>
    </w:pPr>
  </w:style>
  <w:style w:type="character" w:customStyle="1" w:styleId="a4">
    <w:name w:val="Верхний колонтитул Знак"/>
    <w:basedOn w:val="a0"/>
    <w:link w:val="a3"/>
    <w:uiPriority w:val="99"/>
    <w:rsid w:val="007B4F32"/>
  </w:style>
  <w:style w:type="paragraph" w:styleId="a5">
    <w:name w:val="footer"/>
    <w:basedOn w:val="a"/>
    <w:link w:val="a6"/>
    <w:uiPriority w:val="99"/>
    <w:unhideWhenUsed/>
    <w:rsid w:val="007B4F32"/>
    <w:pPr>
      <w:tabs>
        <w:tab w:val="center" w:pos="4677"/>
        <w:tab w:val="right" w:pos="9355"/>
      </w:tabs>
      <w:spacing w:after="0" w:line="240" w:lineRule="auto"/>
    </w:pPr>
  </w:style>
  <w:style w:type="character" w:customStyle="1" w:styleId="a6">
    <w:name w:val="Нижний колонтитул Знак"/>
    <w:basedOn w:val="a0"/>
    <w:link w:val="a5"/>
    <w:uiPriority w:val="99"/>
    <w:rsid w:val="007B4F32"/>
  </w:style>
  <w:style w:type="character" w:styleId="a7">
    <w:name w:val="page number"/>
    <w:basedOn w:val="a0"/>
    <w:uiPriority w:val="99"/>
    <w:semiHidden/>
    <w:unhideWhenUsed/>
    <w:rsid w:val="007B4F32"/>
  </w:style>
  <w:style w:type="table" w:styleId="a8">
    <w:name w:val="Table Grid"/>
    <w:basedOn w:val="a1"/>
    <w:uiPriority w:val="59"/>
    <w:rsid w:val="007B4F3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3.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27</Pages>
  <Words>9997</Words>
  <Characters>75284</Characters>
  <Application>Microsoft Office Word</Application>
  <DocSecurity>0</DocSecurity>
  <Lines>1420</Lines>
  <Paragraphs>564</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84717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Екатерина Янтикова</dc:creator>
  <cp:lastModifiedBy>Екатерина Янтикова</cp:lastModifiedBy>
  <cp:revision>1</cp:revision>
  <dcterms:created xsi:type="dcterms:W3CDTF">2026-04-10T12:10:00Z</dcterms:created>
  <dcterms:modified xsi:type="dcterms:W3CDTF">2026-04-10T12:11:00Z</dcterms:modified>
</cp:coreProperties>
</file>